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579" w:type="dxa"/>
        <w:tblInd w:w="-714" w:type="dxa"/>
        <w:tblLook w:val="04A0" w:firstRow="1" w:lastRow="0" w:firstColumn="1" w:lastColumn="0" w:noHBand="0" w:noVBand="1"/>
      </w:tblPr>
      <w:tblGrid>
        <w:gridCol w:w="1701"/>
        <w:gridCol w:w="8878"/>
      </w:tblGrid>
      <w:tr w:rsidR="005A6FC8" w:rsidTr="00C3458B">
        <w:tc>
          <w:tcPr>
            <w:tcW w:w="1701" w:type="dxa"/>
          </w:tcPr>
          <w:p w:rsidR="005A6FC8" w:rsidRPr="00A45FBD" w:rsidRDefault="00A45FBD" w:rsidP="00CD324F">
            <w:pPr>
              <w:spacing w:line="276" w:lineRule="auto"/>
              <w:rPr>
                <w:b/>
              </w:rPr>
            </w:pPr>
            <w:r w:rsidRPr="00A45FBD">
              <w:rPr>
                <w:b/>
              </w:rPr>
              <w:t>Regulations and standards</w:t>
            </w:r>
          </w:p>
        </w:tc>
        <w:tc>
          <w:tcPr>
            <w:tcW w:w="8878" w:type="dxa"/>
          </w:tcPr>
          <w:p w:rsidR="00C5062E" w:rsidRPr="00C5062E" w:rsidRDefault="00AF5FD3" w:rsidP="00AF5FD3">
            <w:pPr>
              <w:spacing w:line="276" w:lineRule="auto"/>
            </w:pPr>
            <w:r w:rsidRPr="00C5062E">
              <w:t>Imagine Education Australia</w:t>
            </w:r>
          </w:p>
          <w:p w:rsidR="00AF5FD3" w:rsidRPr="00C5062E" w:rsidRDefault="00C5062E" w:rsidP="00AF5FD3">
            <w:pPr>
              <w:spacing w:line="276" w:lineRule="auto"/>
            </w:pPr>
            <w:r w:rsidRPr="00C5062E">
              <w:t>User Choice 2021-25 Policy</w:t>
            </w:r>
            <w:r w:rsidR="00AF5FD3" w:rsidRPr="00C5062E">
              <w:t xml:space="preserve"> </w:t>
            </w:r>
          </w:p>
          <w:p w:rsidR="005A6FC8" w:rsidRPr="00C5062E" w:rsidRDefault="00AF5FD3" w:rsidP="00AF5FD3">
            <w:pPr>
              <w:spacing w:after="80" w:line="276" w:lineRule="auto"/>
            </w:pPr>
            <w:r w:rsidRPr="00C5062E">
              <w:t>Skills Assure Supplier Audit Evidence Requirements (User Choice 2023-25)</w:t>
            </w:r>
          </w:p>
        </w:tc>
      </w:tr>
      <w:tr w:rsidR="005A6FC8" w:rsidTr="00AF5FD3">
        <w:trPr>
          <w:trHeight w:val="10446"/>
        </w:trPr>
        <w:tc>
          <w:tcPr>
            <w:tcW w:w="1701" w:type="dxa"/>
          </w:tcPr>
          <w:p w:rsidR="005A6FC8" w:rsidRPr="00A45FBD" w:rsidRDefault="00A45FBD" w:rsidP="00CD324F">
            <w:pPr>
              <w:spacing w:line="276" w:lineRule="auto"/>
              <w:rPr>
                <w:b/>
              </w:rPr>
            </w:pPr>
            <w:r w:rsidRPr="00A45FBD">
              <w:rPr>
                <w:b/>
              </w:rPr>
              <w:t>Policy</w:t>
            </w:r>
            <w:r w:rsidR="00AF5FD3">
              <w:rPr>
                <w:b/>
              </w:rPr>
              <w:t xml:space="preserve"> – Fees</w:t>
            </w:r>
          </w:p>
        </w:tc>
        <w:tc>
          <w:tcPr>
            <w:tcW w:w="8878" w:type="dxa"/>
          </w:tcPr>
          <w:p w:rsidR="00AF5FD3" w:rsidRPr="00C5062E" w:rsidRDefault="00AF5FD3" w:rsidP="00AF5FD3">
            <w:pPr>
              <w:spacing w:line="276" w:lineRule="auto"/>
            </w:pPr>
            <w:r w:rsidRPr="00C5062E">
              <w:t>The User Choice 2021-25 Policy requires Imagine Education Australia (IEA) to collect a student contribution fee as the participant’s fina</w:t>
            </w:r>
            <w:bookmarkStart w:id="0" w:name="_GoBack"/>
            <w:bookmarkEnd w:id="0"/>
            <w:r w:rsidRPr="00C5062E">
              <w:t xml:space="preserve">ncial contribution to the cost of the training and assessment services provided. Student contribution fees are set at $1.60 per nominal hour for each unit of competency/module. </w:t>
            </w:r>
          </w:p>
          <w:p w:rsidR="00AF5FD3" w:rsidRPr="00C5062E" w:rsidRDefault="00AF5FD3" w:rsidP="00AF5FD3">
            <w:pPr>
              <w:spacing w:line="276" w:lineRule="auto"/>
            </w:pPr>
          </w:p>
          <w:p w:rsidR="00AF5FD3" w:rsidRPr="00C5062E" w:rsidRDefault="00AF5FD3" w:rsidP="00AF5FD3">
            <w:pPr>
              <w:spacing w:line="276" w:lineRule="auto"/>
            </w:pPr>
            <w:r w:rsidRPr="00C5062E">
              <w:t xml:space="preserve">At signup with the applicant, the Domestic Sales Manager (DSM)* and the nominated </w:t>
            </w:r>
            <w:r w:rsidR="00166111" w:rsidRPr="00C5062E">
              <w:t>Australian Apprenticeship Support Network (</w:t>
            </w:r>
            <w:r w:rsidRPr="00C5062E">
              <w:t>AASN</w:t>
            </w:r>
            <w:r w:rsidR="00166111" w:rsidRPr="00C5062E">
              <w:t>)</w:t>
            </w:r>
            <w:r w:rsidRPr="00C5062E">
              <w:t xml:space="preserve"> provider (BUSY </w:t>
            </w:r>
            <w:proofErr w:type="gramStart"/>
            <w:r w:rsidRPr="00C5062E">
              <w:t>At</w:t>
            </w:r>
            <w:proofErr w:type="gramEnd"/>
            <w:r w:rsidRPr="00C5062E">
              <w:t xml:space="preserve"> Work, Skills 360, MRAEL, etc.):</w:t>
            </w:r>
          </w:p>
          <w:p w:rsidR="00AF5FD3" w:rsidRPr="00C5062E" w:rsidRDefault="00AF5FD3" w:rsidP="00AF5FD3">
            <w:pPr>
              <w:pStyle w:val="ListParagraph"/>
              <w:numPr>
                <w:ilvl w:val="0"/>
                <w:numId w:val="2"/>
              </w:numPr>
              <w:spacing w:line="276" w:lineRule="auto"/>
            </w:pPr>
            <w:r w:rsidRPr="00C5062E">
              <w:t>inform the applicant about the student co-contribution fee, the total fee applicable for the course, and that a full exemption may apply where its payment would cause the apprentice / trainee extreme financial hardship. (The DSM cannot guide or influence a student into entering into any one particular payment option.) The DSM issues the applicant with a</w:t>
            </w:r>
            <w:r w:rsidR="00175F77" w:rsidRPr="00C5062E">
              <w:t xml:space="preserve">n Apprenticeship/Traineeship </w:t>
            </w:r>
            <w:r w:rsidRPr="00C5062E">
              <w:t>Fee Exemption under Financial Hardship Application Form if applicable.</w:t>
            </w:r>
          </w:p>
          <w:p w:rsidR="00AF5FD3" w:rsidRPr="00C5062E" w:rsidRDefault="00AF5FD3" w:rsidP="00AF5FD3">
            <w:pPr>
              <w:pStyle w:val="ListParagraph"/>
              <w:numPr>
                <w:ilvl w:val="0"/>
                <w:numId w:val="2"/>
              </w:numPr>
              <w:spacing w:line="276" w:lineRule="auto"/>
            </w:pPr>
            <w:r w:rsidRPr="00C5062E">
              <w:t xml:space="preserve">inform the applicant that IEA has payment options available, including a payment plan and a direct debit service. </w:t>
            </w:r>
          </w:p>
          <w:p w:rsidR="00AF5FD3" w:rsidRPr="00C5062E" w:rsidRDefault="00AF5FD3" w:rsidP="00AF5FD3">
            <w:pPr>
              <w:spacing w:line="276" w:lineRule="auto"/>
            </w:pPr>
          </w:p>
          <w:p w:rsidR="00AF5FD3" w:rsidRPr="00C5062E" w:rsidRDefault="00AF5FD3" w:rsidP="00AF5FD3">
            <w:pPr>
              <w:spacing w:line="276" w:lineRule="auto"/>
            </w:pPr>
            <w:r w:rsidRPr="00C5062E">
              <w:t>*When the DSM is not attending the signup, upon receiving an SRTO acceptance form, the DSM is to contact the applicant and employer to provide this information.</w:t>
            </w:r>
          </w:p>
          <w:p w:rsidR="00AF5FD3" w:rsidRPr="00C5062E" w:rsidRDefault="00AF5FD3" w:rsidP="00AF5FD3">
            <w:pPr>
              <w:spacing w:line="276" w:lineRule="auto"/>
            </w:pPr>
          </w:p>
          <w:p w:rsidR="00AF5FD3" w:rsidRPr="00C5062E" w:rsidRDefault="00AF5FD3" w:rsidP="00AF5FD3">
            <w:pPr>
              <w:spacing w:line="276" w:lineRule="auto"/>
            </w:pPr>
            <w:r w:rsidRPr="00C5062E">
              <w:t xml:space="preserve">The student contribution fee may be paid on the participant’s behalf by a third party such as their employer or parents, but it cannot be paid by Imagine Education. </w:t>
            </w:r>
          </w:p>
          <w:p w:rsidR="00AF5FD3" w:rsidRPr="00C5062E" w:rsidRDefault="00AF5FD3" w:rsidP="00AF5FD3">
            <w:pPr>
              <w:spacing w:line="276" w:lineRule="auto"/>
            </w:pPr>
          </w:p>
          <w:p w:rsidR="005A6FC8" w:rsidRPr="00C5062E" w:rsidRDefault="00AF5FD3" w:rsidP="00AF5FD3">
            <w:pPr>
              <w:spacing w:line="276" w:lineRule="auto"/>
            </w:pPr>
            <w:r w:rsidRPr="00C5062E">
              <w:t>The full student contribution fees are below. The Exemptions section outlines criteria where fees are reduced or not applicable.</w:t>
            </w:r>
          </w:p>
          <w:tbl>
            <w:tblPr>
              <w:tblStyle w:val="TableGrid"/>
              <w:tblpPr w:leftFromText="180" w:rightFromText="180" w:vertAnchor="text" w:tblpXSpec="center" w:tblpY="180"/>
              <w:tblOverlap w:val="never"/>
              <w:tblW w:w="0" w:type="auto"/>
              <w:tblLook w:val="04A0" w:firstRow="1" w:lastRow="0" w:firstColumn="1" w:lastColumn="0" w:noHBand="0" w:noVBand="1"/>
            </w:tblPr>
            <w:tblGrid>
              <w:gridCol w:w="2931"/>
              <w:gridCol w:w="1814"/>
              <w:gridCol w:w="1725"/>
              <w:gridCol w:w="2182"/>
            </w:tblGrid>
            <w:tr w:rsidR="00AF5FD3" w:rsidRPr="00C5062E" w:rsidTr="00AF5FD3">
              <w:trPr>
                <w:trHeight w:val="558"/>
              </w:trPr>
              <w:tc>
                <w:tcPr>
                  <w:tcW w:w="2931" w:type="dxa"/>
                  <w:tcBorders>
                    <w:top w:val="single" w:sz="4" w:space="0" w:color="auto"/>
                  </w:tcBorders>
                  <w:shd w:val="clear" w:color="auto" w:fill="BFBFBF" w:themeFill="background1" w:themeFillShade="BF"/>
                  <w:vAlign w:val="center"/>
                </w:tcPr>
                <w:p w:rsidR="00AF5FD3" w:rsidRPr="00C5062E" w:rsidRDefault="00AF5FD3" w:rsidP="00AF5FD3">
                  <w:pPr>
                    <w:jc w:val="center"/>
                    <w:rPr>
                      <w:rFonts w:cstheme="minorHAnsi"/>
                      <w:b/>
                    </w:rPr>
                  </w:pPr>
                  <w:r w:rsidRPr="00C5062E">
                    <w:rPr>
                      <w:rFonts w:cstheme="minorHAnsi"/>
                      <w:b/>
                    </w:rPr>
                    <w:t>Course Name</w:t>
                  </w:r>
                </w:p>
              </w:tc>
              <w:tc>
                <w:tcPr>
                  <w:tcW w:w="0" w:type="auto"/>
                  <w:tcBorders>
                    <w:top w:val="single" w:sz="4" w:space="0" w:color="auto"/>
                  </w:tcBorders>
                  <w:shd w:val="clear" w:color="auto" w:fill="BFBFBF" w:themeFill="background1" w:themeFillShade="BF"/>
                  <w:vAlign w:val="center"/>
                </w:tcPr>
                <w:p w:rsidR="00AF5FD3" w:rsidRPr="00C5062E" w:rsidRDefault="00AF5FD3" w:rsidP="00AF5FD3">
                  <w:pPr>
                    <w:jc w:val="center"/>
                    <w:rPr>
                      <w:rFonts w:cstheme="minorHAnsi"/>
                      <w:b/>
                    </w:rPr>
                  </w:pPr>
                  <w:r w:rsidRPr="00C5062E">
                    <w:rPr>
                      <w:rFonts w:cstheme="minorHAnsi"/>
                      <w:b/>
                    </w:rPr>
                    <w:t>Total Course Nominal Hours</w:t>
                  </w:r>
                </w:p>
              </w:tc>
              <w:tc>
                <w:tcPr>
                  <w:tcW w:w="0" w:type="auto"/>
                  <w:tcBorders>
                    <w:top w:val="single" w:sz="4" w:space="0" w:color="auto"/>
                  </w:tcBorders>
                  <w:shd w:val="clear" w:color="auto" w:fill="BFBFBF" w:themeFill="background1" w:themeFillShade="BF"/>
                  <w:vAlign w:val="center"/>
                </w:tcPr>
                <w:p w:rsidR="00AF5FD3" w:rsidRPr="00C5062E" w:rsidRDefault="00AF5FD3" w:rsidP="00AF5FD3">
                  <w:pPr>
                    <w:jc w:val="center"/>
                    <w:rPr>
                      <w:rFonts w:cstheme="minorHAnsi"/>
                      <w:b/>
                    </w:rPr>
                  </w:pPr>
                  <w:r w:rsidRPr="00C5062E">
                    <w:rPr>
                      <w:rFonts w:cstheme="minorHAnsi"/>
                      <w:b/>
                    </w:rPr>
                    <w:t>Full Contribution Fee</w:t>
                  </w:r>
                </w:p>
              </w:tc>
              <w:tc>
                <w:tcPr>
                  <w:tcW w:w="2182" w:type="dxa"/>
                  <w:tcBorders>
                    <w:top w:val="single" w:sz="4" w:space="0" w:color="auto"/>
                  </w:tcBorders>
                  <w:shd w:val="clear" w:color="auto" w:fill="BFBFBF" w:themeFill="background1" w:themeFillShade="BF"/>
                  <w:vAlign w:val="center"/>
                </w:tcPr>
                <w:p w:rsidR="00AF5FD3" w:rsidRPr="00C5062E" w:rsidRDefault="00AF5FD3" w:rsidP="00AF5FD3">
                  <w:pPr>
                    <w:jc w:val="center"/>
                    <w:rPr>
                      <w:rFonts w:cstheme="minorHAnsi"/>
                      <w:b/>
                    </w:rPr>
                  </w:pPr>
                  <w:r w:rsidRPr="00C5062E">
                    <w:rPr>
                      <w:rFonts w:cstheme="minorHAnsi"/>
                      <w:b/>
                    </w:rPr>
                    <w:t>Partial Contribution Fee (60% reduced)</w:t>
                  </w:r>
                </w:p>
              </w:tc>
            </w:tr>
            <w:tr w:rsidR="00AF5FD3" w:rsidRPr="00C5062E" w:rsidTr="00AF5FD3">
              <w:tc>
                <w:tcPr>
                  <w:tcW w:w="2931" w:type="dxa"/>
                  <w:tcBorders>
                    <w:top w:val="nil"/>
                  </w:tcBorders>
                </w:tcPr>
                <w:p w:rsidR="00AF5FD3" w:rsidRPr="00C5062E" w:rsidRDefault="00AF5FD3" w:rsidP="00AF5FD3">
                  <w:pPr>
                    <w:rPr>
                      <w:rFonts w:cstheme="minorHAnsi"/>
                    </w:rPr>
                  </w:pPr>
                  <w:r w:rsidRPr="00C5062E">
                    <w:rPr>
                      <w:rFonts w:cstheme="minorHAnsi"/>
                    </w:rPr>
                    <w:t>Certificate III in Early Childhood Education and Care</w:t>
                  </w:r>
                </w:p>
              </w:tc>
              <w:tc>
                <w:tcPr>
                  <w:tcW w:w="0" w:type="auto"/>
                  <w:tcBorders>
                    <w:top w:val="nil"/>
                  </w:tcBorders>
                </w:tcPr>
                <w:p w:rsidR="00AF5FD3" w:rsidRPr="00C5062E" w:rsidRDefault="00AF5FD3" w:rsidP="00AF5FD3">
                  <w:pPr>
                    <w:jc w:val="center"/>
                    <w:rPr>
                      <w:rFonts w:cstheme="minorHAnsi"/>
                    </w:rPr>
                  </w:pPr>
                  <w:r w:rsidRPr="00C5062E">
                    <w:rPr>
                      <w:rFonts w:cstheme="minorHAnsi"/>
                    </w:rPr>
                    <w:t>1108</w:t>
                  </w:r>
                </w:p>
              </w:tc>
              <w:tc>
                <w:tcPr>
                  <w:tcW w:w="0" w:type="auto"/>
                  <w:tcBorders>
                    <w:top w:val="nil"/>
                  </w:tcBorders>
                </w:tcPr>
                <w:p w:rsidR="00AF5FD3" w:rsidRPr="00C5062E" w:rsidRDefault="00AF5FD3" w:rsidP="00AF5FD3">
                  <w:pPr>
                    <w:jc w:val="right"/>
                    <w:rPr>
                      <w:rFonts w:cstheme="minorHAnsi"/>
                    </w:rPr>
                  </w:pPr>
                  <w:r w:rsidRPr="00C5062E">
                    <w:rPr>
                      <w:rFonts w:cstheme="minorHAnsi"/>
                    </w:rPr>
                    <w:t>$1,772.80</w:t>
                  </w:r>
                </w:p>
              </w:tc>
              <w:tc>
                <w:tcPr>
                  <w:tcW w:w="2182" w:type="dxa"/>
                  <w:tcBorders>
                    <w:top w:val="nil"/>
                  </w:tcBorders>
                </w:tcPr>
                <w:p w:rsidR="00AF5FD3" w:rsidRPr="00C5062E" w:rsidRDefault="00AF5FD3" w:rsidP="00AF5FD3">
                  <w:pPr>
                    <w:jc w:val="right"/>
                    <w:rPr>
                      <w:rFonts w:cstheme="minorHAnsi"/>
                    </w:rPr>
                  </w:pPr>
                  <w:r w:rsidRPr="00C5062E">
                    <w:rPr>
                      <w:rFonts w:cstheme="minorHAnsi"/>
                    </w:rPr>
                    <w:t>$709.12</w:t>
                  </w:r>
                </w:p>
              </w:tc>
            </w:tr>
            <w:tr w:rsidR="00AF5FD3" w:rsidRPr="00C5062E" w:rsidTr="00AF5FD3">
              <w:tc>
                <w:tcPr>
                  <w:tcW w:w="2931" w:type="dxa"/>
                </w:tcPr>
                <w:p w:rsidR="00AF5FD3" w:rsidRPr="00C5062E" w:rsidRDefault="00AF5FD3" w:rsidP="00AF5FD3">
                  <w:pPr>
                    <w:rPr>
                      <w:rFonts w:cstheme="minorHAnsi"/>
                    </w:rPr>
                  </w:pPr>
                  <w:r w:rsidRPr="00C5062E">
                    <w:rPr>
                      <w:rFonts w:cstheme="minorHAnsi"/>
                    </w:rPr>
                    <w:t>Diploma of Early Childhood Education and Care</w:t>
                  </w:r>
                </w:p>
              </w:tc>
              <w:tc>
                <w:tcPr>
                  <w:tcW w:w="0" w:type="auto"/>
                </w:tcPr>
                <w:p w:rsidR="00AF5FD3" w:rsidRPr="00C5062E" w:rsidRDefault="00AF5FD3" w:rsidP="00AF5FD3">
                  <w:pPr>
                    <w:jc w:val="center"/>
                    <w:rPr>
                      <w:rFonts w:cstheme="minorHAnsi"/>
                    </w:rPr>
                  </w:pPr>
                  <w:r w:rsidRPr="00C5062E">
                    <w:rPr>
                      <w:rFonts w:cstheme="minorHAnsi"/>
                    </w:rPr>
                    <w:t>1328</w:t>
                  </w:r>
                </w:p>
              </w:tc>
              <w:tc>
                <w:tcPr>
                  <w:tcW w:w="0" w:type="auto"/>
                </w:tcPr>
                <w:p w:rsidR="00AF5FD3" w:rsidRPr="00C5062E" w:rsidRDefault="00AF5FD3" w:rsidP="00AF5FD3">
                  <w:pPr>
                    <w:jc w:val="right"/>
                    <w:rPr>
                      <w:rFonts w:cstheme="minorHAnsi"/>
                    </w:rPr>
                  </w:pPr>
                  <w:r w:rsidRPr="00C5062E">
                    <w:rPr>
                      <w:rFonts w:cstheme="minorHAnsi"/>
                    </w:rPr>
                    <w:t>$2,124.80</w:t>
                  </w:r>
                </w:p>
              </w:tc>
              <w:tc>
                <w:tcPr>
                  <w:tcW w:w="2182" w:type="dxa"/>
                </w:tcPr>
                <w:p w:rsidR="00AF5FD3" w:rsidRPr="00C5062E" w:rsidRDefault="00AF5FD3" w:rsidP="00AF5FD3">
                  <w:pPr>
                    <w:jc w:val="right"/>
                    <w:rPr>
                      <w:rFonts w:cstheme="minorHAnsi"/>
                    </w:rPr>
                  </w:pPr>
                  <w:r w:rsidRPr="00C5062E">
                    <w:rPr>
                      <w:rFonts w:cstheme="minorHAnsi"/>
                    </w:rPr>
                    <w:t>$849.92</w:t>
                  </w:r>
                </w:p>
              </w:tc>
            </w:tr>
            <w:tr w:rsidR="00AF5FD3" w:rsidRPr="00C5062E" w:rsidTr="00AF5FD3">
              <w:tc>
                <w:tcPr>
                  <w:tcW w:w="2931" w:type="dxa"/>
                </w:tcPr>
                <w:p w:rsidR="00AF5FD3" w:rsidRPr="00C5062E" w:rsidRDefault="00AF5FD3" w:rsidP="00AF5FD3">
                  <w:pPr>
                    <w:rPr>
                      <w:rFonts w:cstheme="minorHAnsi"/>
                    </w:rPr>
                  </w:pPr>
                  <w:r w:rsidRPr="00C5062E">
                    <w:rPr>
                      <w:rFonts w:cstheme="minorHAnsi"/>
                    </w:rPr>
                    <w:t>Certificate III in Commercial Cookery</w:t>
                  </w:r>
                </w:p>
              </w:tc>
              <w:tc>
                <w:tcPr>
                  <w:tcW w:w="0" w:type="auto"/>
                </w:tcPr>
                <w:p w:rsidR="00AF5FD3" w:rsidRPr="00C5062E" w:rsidRDefault="00AF5FD3" w:rsidP="00AF5FD3">
                  <w:pPr>
                    <w:jc w:val="center"/>
                    <w:rPr>
                      <w:rFonts w:cstheme="minorHAnsi"/>
                    </w:rPr>
                  </w:pPr>
                  <w:r w:rsidRPr="00C5062E">
                    <w:rPr>
                      <w:rFonts w:cstheme="minorHAnsi"/>
                    </w:rPr>
                    <w:t>940</w:t>
                  </w:r>
                </w:p>
              </w:tc>
              <w:tc>
                <w:tcPr>
                  <w:tcW w:w="0" w:type="auto"/>
                </w:tcPr>
                <w:p w:rsidR="00AF5FD3" w:rsidRPr="00C5062E" w:rsidRDefault="00AF5FD3" w:rsidP="00AF5FD3">
                  <w:pPr>
                    <w:jc w:val="right"/>
                    <w:rPr>
                      <w:rFonts w:cstheme="minorHAnsi"/>
                    </w:rPr>
                  </w:pPr>
                  <w:r w:rsidRPr="00C5062E">
                    <w:rPr>
                      <w:rFonts w:cstheme="minorHAnsi"/>
                    </w:rPr>
                    <w:t>$1,504.00</w:t>
                  </w:r>
                </w:p>
              </w:tc>
              <w:tc>
                <w:tcPr>
                  <w:tcW w:w="2182" w:type="dxa"/>
                </w:tcPr>
                <w:p w:rsidR="00AF5FD3" w:rsidRPr="00C5062E" w:rsidRDefault="00AF5FD3" w:rsidP="00AF5FD3">
                  <w:pPr>
                    <w:jc w:val="right"/>
                    <w:rPr>
                      <w:rFonts w:cstheme="minorHAnsi"/>
                    </w:rPr>
                  </w:pPr>
                  <w:r w:rsidRPr="00C5062E">
                    <w:rPr>
                      <w:rFonts w:cstheme="minorHAnsi"/>
                    </w:rPr>
                    <w:t>$601.60</w:t>
                  </w:r>
                </w:p>
              </w:tc>
            </w:tr>
          </w:tbl>
          <w:p w:rsidR="00AF5FD3" w:rsidRPr="00C5062E" w:rsidRDefault="00AF5FD3" w:rsidP="00AF5FD3">
            <w:pPr>
              <w:spacing w:line="276" w:lineRule="auto"/>
            </w:pPr>
          </w:p>
        </w:tc>
      </w:tr>
      <w:tr w:rsidR="00AF5FD3" w:rsidTr="00C3458B">
        <w:tc>
          <w:tcPr>
            <w:tcW w:w="1701" w:type="dxa"/>
          </w:tcPr>
          <w:p w:rsidR="00AF5FD3" w:rsidRPr="00A45FBD" w:rsidRDefault="00AF5FD3" w:rsidP="00CD324F">
            <w:pPr>
              <w:spacing w:line="276" w:lineRule="auto"/>
              <w:rPr>
                <w:b/>
              </w:rPr>
            </w:pPr>
            <w:r>
              <w:rPr>
                <w:b/>
              </w:rPr>
              <w:t>Policy – Charges</w:t>
            </w:r>
          </w:p>
        </w:tc>
        <w:tc>
          <w:tcPr>
            <w:tcW w:w="8878" w:type="dxa"/>
          </w:tcPr>
          <w:p w:rsidR="00AF5FD3" w:rsidRDefault="00AF5FD3" w:rsidP="00AF5FD3">
            <w:pPr>
              <w:spacing w:line="276" w:lineRule="auto"/>
            </w:pPr>
            <w:r>
              <w:t>Student contribution fees are calculated/invoiced at the enrolment stage. Fees are due before the completion of the course.</w:t>
            </w:r>
          </w:p>
          <w:p w:rsidR="00AF5FD3" w:rsidRDefault="00AF5FD3" w:rsidP="00AF5FD3">
            <w:pPr>
              <w:spacing w:line="276" w:lineRule="auto"/>
            </w:pPr>
          </w:p>
          <w:p w:rsidR="00AF5FD3" w:rsidRDefault="00AF5FD3" w:rsidP="00AF5FD3">
            <w:pPr>
              <w:spacing w:after="80" w:line="276" w:lineRule="auto"/>
            </w:pPr>
            <w:r>
              <w:lastRenderedPageBreak/>
              <w:t>Imagine Education offers payment options that lessens the impact on participants having to pay the entire student contribution as a lump sum, including a payment plan and a direct debit service.</w:t>
            </w:r>
          </w:p>
        </w:tc>
      </w:tr>
      <w:tr w:rsidR="005A6FC8" w:rsidTr="00C3458B">
        <w:tc>
          <w:tcPr>
            <w:tcW w:w="1701" w:type="dxa"/>
          </w:tcPr>
          <w:p w:rsidR="005A6FC8" w:rsidRPr="00A45FBD" w:rsidRDefault="00743A6E" w:rsidP="00CD324F">
            <w:pPr>
              <w:spacing w:line="276" w:lineRule="auto"/>
              <w:rPr>
                <w:b/>
              </w:rPr>
            </w:pPr>
            <w:r>
              <w:rPr>
                <w:b/>
              </w:rPr>
              <w:lastRenderedPageBreak/>
              <w:t>Policy</w:t>
            </w:r>
            <w:r w:rsidR="00AF5FD3">
              <w:rPr>
                <w:b/>
              </w:rPr>
              <w:t xml:space="preserve"> – Exemptions</w:t>
            </w:r>
          </w:p>
        </w:tc>
        <w:tc>
          <w:tcPr>
            <w:tcW w:w="8878" w:type="dxa"/>
          </w:tcPr>
          <w:p w:rsidR="00AF5FD3" w:rsidRDefault="00AF5FD3" w:rsidP="00AF5FD3">
            <w:pPr>
              <w:spacing w:line="276" w:lineRule="auto"/>
            </w:pPr>
            <w:r>
              <w:t>The student contribution fee is fully exempt where the participant falls into one or more of the following exemption categories:</w:t>
            </w:r>
          </w:p>
          <w:p w:rsidR="00AF5FD3" w:rsidRDefault="00AF5FD3" w:rsidP="00743A6E">
            <w:pPr>
              <w:pStyle w:val="ListParagraph"/>
              <w:numPr>
                <w:ilvl w:val="0"/>
                <w:numId w:val="3"/>
              </w:numPr>
              <w:spacing w:line="276" w:lineRule="auto"/>
            </w:pPr>
            <w:r>
              <w:t>Where payment of the student contribution fee would cause extreme financial hardship (see below information).</w:t>
            </w:r>
          </w:p>
          <w:p w:rsidR="00AF5FD3" w:rsidRDefault="00AF5FD3" w:rsidP="00743A6E">
            <w:pPr>
              <w:pStyle w:val="ListParagraph"/>
              <w:numPr>
                <w:ilvl w:val="0"/>
                <w:numId w:val="3"/>
              </w:numPr>
              <w:spacing w:line="276" w:lineRule="auto"/>
            </w:pPr>
            <w:r>
              <w:t>Where credit transfer/national recognition has been applied to a unit of competency/module.</w:t>
            </w:r>
          </w:p>
          <w:p w:rsidR="00AF5FD3" w:rsidRDefault="00AF5FD3" w:rsidP="00743A6E">
            <w:pPr>
              <w:pStyle w:val="ListParagraph"/>
              <w:numPr>
                <w:ilvl w:val="0"/>
                <w:numId w:val="3"/>
              </w:numPr>
              <w:spacing w:line="276" w:lineRule="auto"/>
            </w:pPr>
            <w:r>
              <w:t xml:space="preserve">Is a school-based apprentice or </w:t>
            </w:r>
            <w:proofErr w:type="gramStart"/>
            <w:r>
              <w:t>trainee.</w:t>
            </w:r>
            <w:proofErr w:type="gramEnd"/>
          </w:p>
          <w:p w:rsidR="00AF5FD3" w:rsidRDefault="00AF5FD3" w:rsidP="00743A6E">
            <w:pPr>
              <w:pStyle w:val="ListParagraph"/>
              <w:numPr>
                <w:ilvl w:val="0"/>
                <w:numId w:val="3"/>
              </w:numPr>
              <w:spacing w:line="276" w:lineRule="auto"/>
            </w:pPr>
            <w:r>
              <w:t xml:space="preserve">Is under the age of 25 on or before the date of commencement </w:t>
            </w:r>
          </w:p>
          <w:p w:rsidR="00743A6E" w:rsidRDefault="00743A6E" w:rsidP="00AF5FD3">
            <w:pPr>
              <w:spacing w:line="276" w:lineRule="auto"/>
            </w:pPr>
          </w:p>
          <w:p w:rsidR="00AF5FD3" w:rsidRDefault="00AF5FD3" w:rsidP="00AF5FD3">
            <w:pPr>
              <w:spacing w:line="276" w:lineRule="auto"/>
            </w:pPr>
            <w:r>
              <w:t xml:space="preserve">The student contribution fee is </w:t>
            </w:r>
            <w:r w:rsidRPr="00743A6E">
              <w:rPr>
                <w:b/>
              </w:rPr>
              <w:t>reduced by 60%</w:t>
            </w:r>
            <w:r>
              <w:t xml:space="preserve"> where the participant falls into one or more of the following exemption categories:</w:t>
            </w:r>
          </w:p>
          <w:p w:rsidR="00AF5FD3" w:rsidRDefault="00AF5FD3" w:rsidP="00743A6E">
            <w:pPr>
              <w:pStyle w:val="ListParagraph"/>
              <w:numPr>
                <w:ilvl w:val="0"/>
                <w:numId w:val="4"/>
              </w:numPr>
              <w:spacing w:line="276" w:lineRule="auto"/>
            </w:pPr>
            <w:r>
              <w:t>Holds a Health Care Card or Pensioner Concession Card issued under Commonwealth law, or is the partner or a dependant of a person who holds a Health Care Card or Pensioner Concession Card, and is named on the card.</w:t>
            </w:r>
          </w:p>
          <w:p w:rsidR="00AF5FD3" w:rsidRDefault="00AF5FD3" w:rsidP="00743A6E">
            <w:pPr>
              <w:pStyle w:val="ListParagraph"/>
              <w:numPr>
                <w:ilvl w:val="0"/>
                <w:numId w:val="4"/>
              </w:numPr>
              <w:spacing w:line="276" w:lineRule="auto"/>
            </w:pPr>
            <w:r>
              <w:t>Provides an official form under Commonwealth law confirming that the participant, his or her partner or the person of whom the participant is a dependant, is entitled to concessions under a Health Care Card or Pensioner Concession Card.</w:t>
            </w:r>
          </w:p>
          <w:p w:rsidR="005A6FC8" w:rsidRDefault="00AF5FD3" w:rsidP="00743A6E">
            <w:pPr>
              <w:pStyle w:val="ListParagraph"/>
              <w:numPr>
                <w:ilvl w:val="0"/>
                <w:numId w:val="4"/>
              </w:numPr>
              <w:spacing w:after="80" w:line="276" w:lineRule="auto"/>
              <w:ind w:left="714" w:hanging="357"/>
              <w:contextualSpacing w:val="0"/>
            </w:pPr>
            <w:r>
              <w:t>Is an Aboriginal or Torres Strait Islander person.</w:t>
            </w:r>
          </w:p>
        </w:tc>
      </w:tr>
      <w:tr w:rsidR="00AF5FD3" w:rsidTr="00C3458B">
        <w:tc>
          <w:tcPr>
            <w:tcW w:w="1701" w:type="dxa"/>
          </w:tcPr>
          <w:p w:rsidR="00AF5FD3" w:rsidRPr="00A45FBD" w:rsidRDefault="00743A6E" w:rsidP="00CD324F">
            <w:pPr>
              <w:spacing w:line="276" w:lineRule="auto"/>
              <w:rPr>
                <w:b/>
              </w:rPr>
            </w:pPr>
            <w:r>
              <w:rPr>
                <w:b/>
              </w:rPr>
              <w:t>Policy – Fee exemption under financial hardship</w:t>
            </w:r>
          </w:p>
        </w:tc>
        <w:tc>
          <w:tcPr>
            <w:tcW w:w="8878" w:type="dxa"/>
          </w:tcPr>
          <w:p w:rsidR="00743A6E" w:rsidRDefault="00743A6E" w:rsidP="00743A6E">
            <w:pPr>
              <w:spacing w:line="276" w:lineRule="auto"/>
            </w:pPr>
            <w:r>
              <w:t xml:space="preserve">According to the </w:t>
            </w:r>
            <w:hyperlink r:id="rId7" w:history="1">
              <w:r w:rsidRPr="00743A6E">
                <w:rPr>
                  <w:rStyle w:val="Hyperlink"/>
                </w:rPr>
                <w:t>User Choice Policy 2021-25</w:t>
              </w:r>
            </w:hyperlink>
            <w:r>
              <w:t>,</w:t>
            </w:r>
          </w:p>
          <w:p w:rsidR="00743A6E" w:rsidRDefault="00743A6E" w:rsidP="00743A6E">
            <w:pPr>
              <w:pStyle w:val="ListParagraph"/>
              <w:numPr>
                <w:ilvl w:val="0"/>
                <w:numId w:val="5"/>
              </w:numPr>
              <w:spacing w:line="276" w:lineRule="auto"/>
            </w:pPr>
            <w:r>
              <w:t>The SAS may apply full exemption from the student contribution fee where its payment would cause the apprentice / trainee extreme financial hardship. (section 2.6.3(a))</w:t>
            </w:r>
          </w:p>
          <w:p w:rsidR="00743A6E" w:rsidRDefault="00743A6E" w:rsidP="00743A6E">
            <w:pPr>
              <w:pStyle w:val="ListParagraph"/>
              <w:numPr>
                <w:ilvl w:val="0"/>
                <w:numId w:val="5"/>
              </w:numPr>
              <w:spacing w:line="276" w:lineRule="auto"/>
            </w:pPr>
            <w:r>
              <w:t>The SAS must have a reasonable internal process to manage an appeal about the outcome of an application under financial hardship. (section 2.6.3(a) ii)</w:t>
            </w:r>
          </w:p>
          <w:p w:rsidR="00743A6E" w:rsidRDefault="00743A6E" w:rsidP="00743A6E">
            <w:pPr>
              <w:pStyle w:val="ListParagraph"/>
              <w:numPr>
                <w:ilvl w:val="0"/>
                <w:numId w:val="5"/>
              </w:numPr>
              <w:spacing w:line="276" w:lineRule="auto"/>
            </w:pPr>
            <w:r>
              <w:t>The SAS may refuse to become an SRTO, or enrol or provide the training and assessment services to an apprentice/trainee if a student contribution fee is not paid despite the SAS providing its fees policy prior to enrolment. (section 2.7)</w:t>
            </w:r>
          </w:p>
          <w:p w:rsidR="00743A6E" w:rsidRDefault="00743A6E" w:rsidP="00743A6E">
            <w:pPr>
              <w:spacing w:line="276" w:lineRule="auto"/>
            </w:pPr>
          </w:p>
          <w:p w:rsidR="00743A6E" w:rsidRDefault="00743A6E" w:rsidP="00743A6E">
            <w:pPr>
              <w:spacing w:line="276" w:lineRule="auto"/>
            </w:pPr>
            <w:r>
              <w:t xml:space="preserve">According to page 39 of the </w:t>
            </w:r>
            <w:hyperlink r:id="rId8" w:history="1">
              <w:r w:rsidRPr="00743A6E">
                <w:rPr>
                  <w:rStyle w:val="Hyperlink"/>
                </w:rPr>
                <w:t>Skills Assure Supplier Audit Evidence Requirements (User Choice 2023-24)</w:t>
              </w:r>
            </w:hyperlink>
            <w:r>
              <w:t>,</w:t>
            </w:r>
          </w:p>
          <w:p w:rsidR="00743A6E" w:rsidRDefault="00743A6E" w:rsidP="00743A6E">
            <w:pPr>
              <w:pStyle w:val="ListParagraph"/>
              <w:numPr>
                <w:ilvl w:val="0"/>
                <w:numId w:val="7"/>
              </w:numPr>
              <w:spacing w:line="276" w:lineRule="auto"/>
            </w:pPr>
            <w:r>
              <w:t xml:space="preserve">The supplier must have a process in place to manage any application from an apprentice / trainee regarding possible financial hardship and his / her inability to pay a student contribution fee that can adversely impact his / her standard of living. </w:t>
            </w:r>
          </w:p>
          <w:p w:rsidR="00743A6E" w:rsidRDefault="00743A6E" w:rsidP="00743A6E">
            <w:pPr>
              <w:pStyle w:val="ListParagraph"/>
              <w:numPr>
                <w:ilvl w:val="0"/>
                <w:numId w:val="7"/>
              </w:numPr>
              <w:spacing w:line="276" w:lineRule="auto"/>
            </w:pPr>
            <w:r>
              <w:t xml:space="preserve">Applications by the apprentice / trainee should be approved by the supplier if the apprentice / trainee is able to provide sufficient evidence supporting how the recommended payment of student contribution fees would adversely affect their ability to cover cost of living expenses. The supplier must retain information regarding the </w:t>
            </w:r>
            <w:r>
              <w:lastRenderedPageBreak/>
              <w:t>evidence supplied by the apprentice / trainee substantiate an application for financial hardship.</w:t>
            </w:r>
          </w:p>
          <w:p w:rsidR="00743A6E" w:rsidRDefault="00743A6E" w:rsidP="00743A6E">
            <w:pPr>
              <w:pStyle w:val="ListParagraph"/>
              <w:numPr>
                <w:ilvl w:val="0"/>
                <w:numId w:val="6"/>
              </w:numPr>
              <w:spacing w:line="276" w:lineRule="auto"/>
            </w:pPr>
            <w:r>
              <w:t>The supplier must ensure it has a process in place to efficiently manage any appeals lodged by the apprentice / trainee should their application for financial hardship be refused.</w:t>
            </w:r>
          </w:p>
          <w:p w:rsidR="00743A6E" w:rsidRDefault="00743A6E" w:rsidP="00743A6E">
            <w:pPr>
              <w:spacing w:line="276" w:lineRule="auto"/>
            </w:pPr>
          </w:p>
          <w:p w:rsidR="00743A6E" w:rsidRDefault="00743A6E" w:rsidP="00743A6E">
            <w:pPr>
              <w:spacing w:line="276" w:lineRule="auto"/>
            </w:pPr>
            <w:r>
              <w:t>Students (apprentice/trainee) who wish to apply for fee exemption under financial hardship must provide:</w:t>
            </w:r>
          </w:p>
          <w:p w:rsidR="00743A6E" w:rsidRDefault="00743A6E" w:rsidP="00743A6E">
            <w:pPr>
              <w:pStyle w:val="ListParagraph"/>
              <w:numPr>
                <w:ilvl w:val="0"/>
                <w:numId w:val="6"/>
              </w:numPr>
              <w:spacing w:line="276" w:lineRule="auto"/>
            </w:pPr>
            <w:r>
              <w:t>A copy of their most current bank statement/s or transaction history</w:t>
            </w:r>
          </w:p>
          <w:p w:rsidR="00743A6E" w:rsidRDefault="00743A6E" w:rsidP="00743A6E">
            <w:pPr>
              <w:pStyle w:val="ListParagraph"/>
              <w:numPr>
                <w:ilvl w:val="0"/>
                <w:numId w:val="8"/>
              </w:numPr>
              <w:spacing w:line="276" w:lineRule="auto"/>
            </w:pPr>
            <w:r>
              <w:t>Must have been issued within the last two months</w:t>
            </w:r>
          </w:p>
          <w:p w:rsidR="00743A6E" w:rsidRDefault="00743A6E" w:rsidP="00743A6E">
            <w:pPr>
              <w:pStyle w:val="ListParagraph"/>
              <w:numPr>
                <w:ilvl w:val="0"/>
                <w:numId w:val="8"/>
              </w:numPr>
              <w:spacing w:line="276" w:lineRule="auto"/>
            </w:pPr>
            <w:r>
              <w:t>Must cover at least two months of transactions</w:t>
            </w:r>
          </w:p>
          <w:p w:rsidR="00743A6E" w:rsidRDefault="00743A6E" w:rsidP="00743A6E">
            <w:pPr>
              <w:pStyle w:val="ListParagraph"/>
              <w:numPr>
                <w:ilvl w:val="0"/>
                <w:numId w:val="6"/>
              </w:numPr>
              <w:spacing w:line="276" w:lineRule="auto"/>
            </w:pPr>
            <w:r>
              <w:t xml:space="preserve">A signed, dated and completed </w:t>
            </w:r>
            <w:r w:rsidR="00175F77">
              <w:t>Apprenticeship/Traineeship</w:t>
            </w:r>
            <w:r>
              <w:t xml:space="preserve"> Fee Exemption under Financial Hardship Application Form</w:t>
            </w:r>
          </w:p>
          <w:p w:rsidR="00743A6E" w:rsidRDefault="00743A6E" w:rsidP="00743A6E">
            <w:pPr>
              <w:pStyle w:val="ListParagraph"/>
              <w:numPr>
                <w:ilvl w:val="0"/>
                <w:numId w:val="9"/>
              </w:numPr>
              <w:spacing w:line="276" w:lineRule="auto"/>
            </w:pPr>
            <w:r>
              <w:t>Section A must be written in their own words stating the reasons they wish to apply for a fee exemption under financial hardship</w:t>
            </w:r>
          </w:p>
          <w:p w:rsidR="00743A6E" w:rsidRDefault="00743A6E" w:rsidP="00743A6E">
            <w:pPr>
              <w:pStyle w:val="ListParagraph"/>
              <w:numPr>
                <w:ilvl w:val="0"/>
                <w:numId w:val="9"/>
              </w:numPr>
              <w:spacing w:line="276" w:lineRule="auto"/>
            </w:pPr>
            <w:r>
              <w:t>Section B must outline income versus expenses</w:t>
            </w:r>
          </w:p>
          <w:p w:rsidR="00743A6E" w:rsidRDefault="00743A6E" w:rsidP="00743A6E">
            <w:pPr>
              <w:pStyle w:val="ListParagraph"/>
              <w:numPr>
                <w:ilvl w:val="0"/>
                <w:numId w:val="6"/>
              </w:numPr>
              <w:spacing w:line="276" w:lineRule="auto"/>
            </w:pPr>
            <w:r>
              <w:t>Evidence of income and expenses, where possible (e.g. payslip, electricity bill, etc.)</w:t>
            </w:r>
          </w:p>
          <w:p w:rsidR="00743A6E" w:rsidRDefault="00743A6E" w:rsidP="00743A6E">
            <w:pPr>
              <w:spacing w:line="276" w:lineRule="auto"/>
            </w:pPr>
          </w:p>
          <w:p w:rsidR="00743A6E" w:rsidRDefault="00743A6E" w:rsidP="00743A6E">
            <w:pPr>
              <w:spacing w:line="276" w:lineRule="auto"/>
            </w:pPr>
            <w:r>
              <w:t xml:space="preserve">The DSM is to ensure all required documentation has been provided before presenting the fee exemption application to the Compliance Manager. The Compliance Manager will review the application in line with IEA’s definition of financial hardship†, and determine if paying the contribution fee will impact the student’s standard of living as per their incomes and expenses provided on the </w:t>
            </w:r>
            <w:r w:rsidR="00175F77">
              <w:t>Apprenticeship/Traineeship</w:t>
            </w:r>
            <w:r>
              <w:t xml:space="preserve"> Fee Exemption under Financial Hardship Application Form and supporting evidence provided.</w:t>
            </w:r>
          </w:p>
          <w:p w:rsidR="00743A6E" w:rsidRDefault="00743A6E" w:rsidP="00743A6E">
            <w:pPr>
              <w:spacing w:line="276" w:lineRule="auto"/>
            </w:pPr>
          </w:p>
          <w:p w:rsidR="00743A6E" w:rsidRDefault="00743A6E" w:rsidP="00743A6E">
            <w:pPr>
              <w:spacing w:line="276" w:lineRule="auto"/>
            </w:pPr>
            <w:r>
              <w:t>*IEA defines financial hardship as a student having to forego essentials such as food, medicine, shelter, etc. to be able to pay the applicable contribution fee on a weekly payment plan.</w:t>
            </w:r>
          </w:p>
          <w:p w:rsidR="00743A6E" w:rsidRDefault="00743A6E" w:rsidP="00743A6E">
            <w:pPr>
              <w:spacing w:line="276" w:lineRule="auto"/>
            </w:pPr>
          </w:p>
          <w:p w:rsidR="00743A6E" w:rsidRDefault="00743A6E" w:rsidP="00743A6E">
            <w:pPr>
              <w:spacing w:line="276" w:lineRule="auto"/>
            </w:pPr>
            <w:r>
              <w:t>Applicants are sent an email (the employer must be copied into the email) that includes the following information:</w:t>
            </w:r>
          </w:p>
          <w:p w:rsidR="00743A6E" w:rsidRDefault="00743A6E" w:rsidP="00743A6E">
            <w:pPr>
              <w:pStyle w:val="ListParagraph"/>
              <w:numPr>
                <w:ilvl w:val="0"/>
                <w:numId w:val="10"/>
              </w:numPr>
              <w:spacing w:line="276" w:lineRule="auto"/>
            </w:pPr>
            <w:r>
              <w:t>What is involved in applying for fee exemption.</w:t>
            </w:r>
          </w:p>
          <w:p w:rsidR="00743A6E" w:rsidRDefault="00743A6E" w:rsidP="00743A6E">
            <w:pPr>
              <w:pStyle w:val="ListParagraph"/>
              <w:numPr>
                <w:ilvl w:val="0"/>
                <w:numId w:val="10"/>
              </w:numPr>
              <w:spacing w:line="276" w:lineRule="auto"/>
            </w:pPr>
            <w:r>
              <w:t>The applicant has 10 business days to apply from the date of receiving the email.</w:t>
            </w:r>
          </w:p>
          <w:p w:rsidR="00743A6E" w:rsidRDefault="00743A6E" w:rsidP="00743A6E">
            <w:pPr>
              <w:pStyle w:val="ListParagraph"/>
              <w:numPr>
                <w:ilvl w:val="0"/>
                <w:numId w:val="10"/>
              </w:numPr>
              <w:spacing w:line="276" w:lineRule="auto"/>
            </w:pPr>
            <w:r>
              <w:t xml:space="preserve">If the applicant’s fee exemption application is declined or the applicant has failed to apply within 10 business days, IEA will charge and collect the student contribution fee as per the policy and invoice. </w:t>
            </w:r>
          </w:p>
          <w:p w:rsidR="00743A6E" w:rsidRDefault="00743A6E" w:rsidP="00743A6E">
            <w:pPr>
              <w:pStyle w:val="ListParagraph"/>
              <w:numPr>
                <w:ilvl w:val="0"/>
                <w:numId w:val="10"/>
              </w:numPr>
              <w:spacing w:line="276" w:lineRule="auto"/>
            </w:pPr>
            <w:r>
              <w:t xml:space="preserve">Available payment options are offered by IEA, including the option of </w:t>
            </w:r>
            <w:proofErr w:type="spellStart"/>
            <w:r>
              <w:t>Ezi</w:t>
            </w:r>
            <w:proofErr w:type="spellEnd"/>
            <w:r>
              <w:t>-Debit.</w:t>
            </w:r>
          </w:p>
          <w:p w:rsidR="00743A6E" w:rsidRDefault="00743A6E" w:rsidP="00743A6E">
            <w:pPr>
              <w:pStyle w:val="ListParagraph"/>
              <w:numPr>
                <w:ilvl w:val="0"/>
                <w:numId w:val="10"/>
              </w:numPr>
              <w:spacing w:after="80" w:line="276" w:lineRule="auto"/>
              <w:ind w:left="714" w:hanging="357"/>
              <w:contextualSpacing w:val="0"/>
            </w:pPr>
            <w:r>
              <w:t xml:space="preserve">The applicant may appeal their declined application decision by submitting an up-to-date fee exemption application. </w:t>
            </w:r>
          </w:p>
          <w:p w:rsidR="00743A6E" w:rsidRDefault="00743A6E" w:rsidP="00743A6E">
            <w:pPr>
              <w:spacing w:line="276" w:lineRule="auto"/>
            </w:pPr>
            <w:r>
              <w:lastRenderedPageBreak/>
              <w:t>Any fee exemption applications received after 10 business days from the date that the student received their confirmation of enrolment will be considered an appeal to the initial outcome of their application and assessed as a new application.</w:t>
            </w:r>
          </w:p>
          <w:p w:rsidR="00743A6E" w:rsidRDefault="00743A6E" w:rsidP="00743A6E">
            <w:pPr>
              <w:spacing w:line="276" w:lineRule="auto"/>
            </w:pPr>
          </w:p>
          <w:p w:rsidR="00AF5FD3" w:rsidRDefault="00743A6E" w:rsidP="00166111">
            <w:pPr>
              <w:spacing w:after="80" w:line="276" w:lineRule="auto"/>
            </w:pPr>
            <w:r>
              <w:t xml:space="preserve">When the fee exemption application is approved or declined, the application is given to the compliance officer to inform the student (copy in Student Payments Officer (SPO) and DSM) and file the application in the student’s folder on J drive. If the application is approved, the SPO is to adjust the fees in </w:t>
            </w:r>
            <w:r w:rsidR="00166111">
              <w:t>Student Management System (</w:t>
            </w:r>
            <w:r>
              <w:t>SMS</w:t>
            </w:r>
            <w:r w:rsidR="00166111">
              <w:t>)</w:t>
            </w:r>
            <w:r>
              <w:t xml:space="preserve"> as at start date of course.</w:t>
            </w:r>
          </w:p>
        </w:tc>
      </w:tr>
      <w:tr w:rsidR="00743A6E" w:rsidTr="00C3458B">
        <w:tc>
          <w:tcPr>
            <w:tcW w:w="1701" w:type="dxa"/>
          </w:tcPr>
          <w:p w:rsidR="00743A6E" w:rsidRPr="00A45FBD" w:rsidRDefault="00743A6E" w:rsidP="00CD324F">
            <w:pPr>
              <w:spacing w:line="276" w:lineRule="auto"/>
              <w:rPr>
                <w:b/>
              </w:rPr>
            </w:pPr>
            <w:r>
              <w:rPr>
                <w:b/>
              </w:rPr>
              <w:lastRenderedPageBreak/>
              <w:t>Procedure – Fee exemption under financial hardship</w:t>
            </w:r>
          </w:p>
        </w:tc>
        <w:tc>
          <w:tcPr>
            <w:tcW w:w="8878" w:type="dxa"/>
          </w:tcPr>
          <w:p w:rsidR="00743A6E" w:rsidRDefault="00743A6E" w:rsidP="00743A6E">
            <w:pPr>
              <w:pStyle w:val="ListParagraph"/>
              <w:numPr>
                <w:ilvl w:val="0"/>
                <w:numId w:val="11"/>
              </w:numPr>
              <w:spacing w:line="276" w:lineRule="auto"/>
            </w:pPr>
            <w:r>
              <w:t>Fee exemption application is received by DSM</w:t>
            </w:r>
          </w:p>
          <w:p w:rsidR="00743A6E" w:rsidRDefault="00743A6E" w:rsidP="00743A6E">
            <w:pPr>
              <w:pStyle w:val="ListParagraph"/>
              <w:numPr>
                <w:ilvl w:val="0"/>
                <w:numId w:val="11"/>
              </w:numPr>
              <w:spacing w:line="276" w:lineRule="auto"/>
            </w:pPr>
            <w:r>
              <w:t>DSM to check all required information has been provided. DSM to submit hardship application to Compliance Manager</w:t>
            </w:r>
          </w:p>
          <w:p w:rsidR="00743A6E" w:rsidRDefault="00743A6E" w:rsidP="00743A6E">
            <w:pPr>
              <w:pStyle w:val="ListParagraph"/>
              <w:numPr>
                <w:ilvl w:val="0"/>
                <w:numId w:val="11"/>
              </w:numPr>
              <w:spacing w:line="276" w:lineRule="auto"/>
            </w:pPr>
            <w:r>
              <w:t>Compliance Manager to review hardship application</w:t>
            </w:r>
          </w:p>
          <w:p w:rsidR="00743A6E" w:rsidRDefault="00743A6E" w:rsidP="00743A6E">
            <w:pPr>
              <w:pStyle w:val="ListParagraph"/>
              <w:numPr>
                <w:ilvl w:val="0"/>
                <w:numId w:val="11"/>
              </w:numPr>
              <w:spacing w:line="276" w:lineRule="auto"/>
            </w:pPr>
            <w:r>
              <w:t>If approved:</w:t>
            </w:r>
          </w:p>
          <w:p w:rsidR="00743A6E" w:rsidRDefault="00743A6E" w:rsidP="00743A6E">
            <w:pPr>
              <w:pStyle w:val="ListParagraph"/>
              <w:numPr>
                <w:ilvl w:val="0"/>
                <w:numId w:val="12"/>
              </w:numPr>
              <w:spacing w:line="276" w:lineRule="auto"/>
            </w:pPr>
            <w:r w:rsidRPr="00743A6E">
              <w:t>C</w:t>
            </w:r>
            <w:r>
              <w:t>ompliance Officer (CO)</w:t>
            </w:r>
            <w:r w:rsidRPr="00743A6E">
              <w:t xml:space="preserve"> to advise student via e-mail that the application has been approved (CC SPO &amp; DSM)</w:t>
            </w:r>
          </w:p>
          <w:p w:rsidR="00743A6E" w:rsidRDefault="00743A6E" w:rsidP="00743A6E">
            <w:pPr>
              <w:pStyle w:val="ListParagraph"/>
              <w:numPr>
                <w:ilvl w:val="0"/>
                <w:numId w:val="12"/>
              </w:numPr>
              <w:spacing w:line="276" w:lineRule="auto"/>
            </w:pPr>
            <w:r>
              <w:t>SPO to adjust fees in SMS (credit) as at start date of course</w:t>
            </w:r>
          </w:p>
          <w:p w:rsidR="00743A6E" w:rsidRDefault="00743A6E" w:rsidP="00743A6E">
            <w:pPr>
              <w:pStyle w:val="ListParagraph"/>
              <w:numPr>
                <w:ilvl w:val="0"/>
                <w:numId w:val="11"/>
              </w:numPr>
              <w:spacing w:line="276" w:lineRule="auto"/>
            </w:pPr>
            <w:r>
              <w:t>If declined:</w:t>
            </w:r>
          </w:p>
          <w:p w:rsidR="00743A6E" w:rsidRDefault="00743A6E" w:rsidP="00743A6E">
            <w:pPr>
              <w:pStyle w:val="ListParagraph"/>
              <w:numPr>
                <w:ilvl w:val="0"/>
                <w:numId w:val="13"/>
              </w:numPr>
              <w:spacing w:line="276" w:lineRule="auto"/>
            </w:pPr>
            <w:r w:rsidRPr="00743A6E">
              <w:t>CO to advise student via e-mail that the application has been declined (CC SPO &amp; DSM)</w:t>
            </w:r>
          </w:p>
          <w:p w:rsidR="00743A6E" w:rsidRDefault="00743A6E" w:rsidP="00743A6E">
            <w:pPr>
              <w:pStyle w:val="ListParagraph"/>
              <w:numPr>
                <w:ilvl w:val="0"/>
                <w:numId w:val="13"/>
              </w:numPr>
              <w:spacing w:line="276" w:lineRule="auto"/>
            </w:pPr>
            <w:r w:rsidRPr="00743A6E">
              <w:t>SPO to contact student to get information to invoice employer or set up payment plan with student</w:t>
            </w:r>
          </w:p>
          <w:p w:rsidR="00743A6E" w:rsidRDefault="00743A6E" w:rsidP="00166111">
            <w:pPr>
              <w:pStyle w:val="ListParagraph"/>
              <w:numPr>
                <w:ilvl w:val="0"/>
                <w:numId w:val="11"/>
              </w:numPr>
              <w:spacing w:after="80" w:line="276" w:lineRule="auto"/>
              <w:ind w:left="714" w:hanging="357"/>
              <w:contextualSpacing w:val="0"/>
            </w:pPr>
            <w:r>
              <w:t>CO to file hardship application and approval/refusal in student’s folder</w:t>
            </w:r>
          </w:p>
        </w:tc>
      </w:tr>
    </w:tbl>
    <w:p w:rsidR="005A6FC8" w:rsidRDefault="005A6FC8" w:rsidP="005A6FC8">
      <w:pPr>
        <w:spacing w:after="0"/>
        <w:ind w:left="-567" w:right="-613"/>
      </w:pPr>
    </w:p>
    <w:p w:rsidR="00A45FBD" w:rsidRDefault="00A45FBD">
      <w:r>
        <w:br w:type="page"/>
      </w:r>
    </w:p>
    <w:tbl>
      <w:tblPr>
        <w:tblStyle w:val="TableGrid"/>
        <w:tblW w:w="10579" w:type="dxa"/>
        <w:tblInd w:w="-714" w:type="dxa"/>
        <w:tblLook w:val="04A0" w:firstRow="1" w:lastRow="0" w:firstColumn="1" w:lastColumn="0" w:noHBand="0" w:noVBand="1"/>
      </w:tblPr>
      <w:tblGrid>
        <w:gridCol w:w="1701"/>
        <w:gridCol w:w="1701"/>
        <w:gridCol w:w="2409"/>
        <w:gridCol w:w="1701"/>
        <w:gridCol w:w="1701"/>
        <w:gridCol w:w="1366"/>
      </w:tblGrid>
      <w:tr w:rsidR="00A45FBD" w:rsidTr="00C3458B">
        <w:tc>
          <w:tcPr>
            <w:tcW w:w="1701" w:type="dxa"/>
          </w:tcPr>
          <w:p w:rsidR="00A45FBD" w:rsidRPr="00A45FBD" w:rsidRDefault="00A45FBD" w:rsidP="00CD324F">
            <w:pPr>
              <w:spacing w:line="276" w:lineRule="auto"/>
              <w:rPr>
                <w:b/>
              </w:rPr>
            </w:pPr>
            <w:r>
              <w:rPr>
                <w:b/>
              </w:rPr>
              <w:lastRenderedPageBreak/>
              <w:t>Supporting Documentation</w:t>
            </w:r>
          </w:p>
        </w:tc>
        <w:tc>
          <w:tcPr>
            <w:tcW w:w="8878" w:type="dxa"/>
            <w:gridSpan w:val="5"/>
          </w:tcPr>
          <w:p w:rsidR="00166111" w:rsidRDefault="00166111" w:rsidP="00166111">
            <w:pPr>
              <w:pStyle w:val="ListParagraph"/>
              <w:numPr>
                <w:ilvl w:val="0"/>
                <w:numId w:val="1"/>
              </w:numPr>
              <w:spacing w:line="276" w:lineRule="auto"/>
            </w:pPr>
            <w:r>
              <w:t>User Choice Fee Exemption under Financial Hardship Application Form</w:t>
            </w:r>
          </w:p>
          <w:p w:rsidR="00A45FBD" w:rsidRDefault="00166111" w:rsidP="00166111">
            <w:pPr>
              <w:pStyle w:val="ListParagraph"/>
              <w:numPr>
                <w:ilvl w:val="0"/>
                <w:numId w:val="1"/>
              </w:numPr>
              <w:spacing w:after="80" w:line="276" w:lineRule="auto"/>
              <w:ind w:left="714" w:hanging="357"/>
              <w:contextualSpacing w:val="0"/>
            </w:pPr>
            <w:r>
              <w:t>Refund Policy and Procedure - Domestic Funded</w:t>
            </w:r>
          </w:p>
        </w:tc>
      </w:tr>
      <w:tr w:rsidR="00A45FBD" w:rsidTr="00C3458B">
        <w:tc>
          <w:tcPr>
            <w:tcW w:w="1701" w:type="dxa"/>
          </w:tcPr>
          <w:p w:rsidR="00A45FBD" w:rsidRPr="00A45FBD" w:rsidRDefault="00A45FBD" w:rsidP="00CD324F">
            <w:pPr>
              <w:spacing w:line="276" w:lineRule="auto"/>
              <w:rPr>
                <w:b/>
              </w:rPr>
            </w:pPr>
            <w:r>
              <w:rPr>
                <w:b/>
              </w:rPr>
              <w:t>Reviewed</w:t>
            </w:r>
          </w:p>
        </w:tc>
        <w:tc>
          <w:tcPr>
            <w:tcW w:w="1701" w:type="dxa"/>
          </w:tcPr>
          <w:p w:rsidR="00A45FBD" w:rsidRDefault="00166111" w:rsidP="00CD324F">
            <w:pPr>
              <w:spacing w:line="276" w:lineRule="auto"/>
              <w:ind w:right="-613"/>
            </w:pPr>
            <w:r>
              <w:t>October, 2025</w:t>
            </w:r>
          </w:p>
        </w:tc>
        <w:tc>
          <w:tcPr>
            <w:tcW w:w="2409" w:type="dxa"/>
          </w:tcPr>
          <w:p w:rsidR="00A45FBD" w:rsidRPr="003B2B4B" w:rsidRDefault="003B2B4B" w:rsidP="00CD324F">
            <w:pPr>
              <w:spacing w:line="276" w:lineRule="auto"/>
              <w:ind w:right="-613"/>
              <w:rPr>
                <w:b/>
              </w:rPr>
            </w:pPr>
            <w:r>
              <w:rPr>
                <w:b/>
              </w:rPr>
              <w:t>Date to be re-reviewed</w:t>
            </w:r>
          </w:p>
        </w:tc>
        <w:tc>
          <w:tcPr>
            <w:tcW w:w="1701" w:type="dxa"/>
          </w:tcPr>
          <w:p w:rsidR="00A45FBD" w:rsidRDefault="00166111" w:rsidP="00CD324F">
            <w:pPr>
              <w:spacing w:line="276" w:lineRule="auto"/>
              <w:ind w:right="-613"/>
            </w:pPr>
            <w:r>
              <w:t>April, 2026</w:t>
            </w:r>
          </w:p>
        </w:tc>
        <w:tc>
          <w:tcPr>
            <w:tcW w:w="1701" w:type="dxa"/>
          </w:tcPr>
          <w:p w:rsidR="00A45FBD" w:rsidRPr="003B2B4B" w:rsidRDefault="003B2B4B" w:rsidP="00CD324F">
            <w:pPr>
              <w:spacing w:line="276" w:lineRule="auto"/>
              <w:ind w:right="-613"/>
              <w:rPr>
                <w:b/>
              </w:rPr>
            </w:pPr>
            <w:r>
              <w:rPr>
                <w:b/>
              </w:rPr>
              <w:t>Version</w:t>
            </w:r>
          </w:p>
        </w:tc>
        <w:tc>
          <w:tcPr>
            <w:tcW w:w="1366" w:type="dxa"/>
          </w:tcPr>
          <w:p w:rsidR="00A45FBD" w:rsidRDefault="00166111" w:rsidP="00CD324F">
            <w:pPr>
              <w:spacing w:line="276" w:lineRule="auto"/>
              <w:ind w:right="-43"/>
            </w:pPr>
            <w:r>
              <w:t>2.0</w:t>
            </w:r>
          </w:p>
        </w:tc>
      </w:tr>
      <w:tr w:rsidR="00A45FBD" w:rsidTr="00C3458B">
        <w:tc>
          <w:tcPr>
            <w:tcW w:w="1701" w:type="dxa"/>
          </w:tcPr>
          <w:p w:rsidR="00A45FBD" w:rsidRPr="00A45FBD" w:rsidRDefault="00A45FBD" w:rsidP="00CD324F">
            <w:pPr>
              <w:spacing w:line="276" w:lineRule="auto"/>
              <w:rPr>
                <w:b/>
              </w:rPr>
            </w:pPr>
            <w:r>
              <w:rPr>
                <w:b/>
              </w:rPr>
              <w:t>Amendments Made</w:t>
            </w:r>
          </w:p>
        </w:tc>
        <w:tc>
          <w:tcPr>
            <w:tcW w:w="8878" w:type="dxa"/>
            <w:gridSpan w:val="5"/>
          </w:tcPr>
          <w:p w:rsidR="00166111" w:rsidRDefault="00166111" w:rsidP="00166111">
            <w:pPr>
              <w:spacing w:line="276" w:lineRule="auto"/>
            </w:pPr>
            <w:r>
              <w:t>Added amendment details to version control to mirror continuous improvement register.</w:t>
            </w:r>
          </w:p>
          <w:p w:rsidR="00166111" w:rsidRDefault="00166111" w:rsidP="00166111">
            <w:pPr>
              <w:spacing w:line="276" w:lineRule="auto"/>
            </w:pPr>
          </w:p>
          <w:p w:rsidR="00A45FBD" w:rsidRDefault="00166111" w:rsidP="00166111">
            <w:pPr>
              <w:spacing w:after="80" w:line="276" w:lineRule="auto"/>
            </w:pPr>
            <w:r>
              <w:t>Updated regulations and standards to include: User Choice Policy 2021-25 and Skills Assure Supplier Audit Evidence Requirements (User Choice 2023-25)</w:t>
            </w:r>
            <w:r w:rsidR="00C5062E">
              <w:t>.</w:t>
            </w:r>
          </w:p>
          <w:p w:rsidR="00C5062E" w:rsidRDefault="00C5062E" w:rsidP="00166111">
            <w:pPr>
              <w:spacing w:after="80" w:line="276" w:lineRule="auto"/>
            </w:pPr>
          </w:p>
          <w:p w:rsidR="00C5062E" w:rsidRDefault="00C5062E" w:rsidP="00166111">
            <w:pPr>
              <w:spacing w:after="80" w:line="276" w:lineRule="auto"/>
            </w:pPr>
            <w:r>
              <w:t>Updated User Choice to be Apprenticeship/Traineeship Program.</w:t>
            </w:r>
          </w:p>
        </w:tc>
      </w:tr>
      <w:tr w:rsidR="00A45FBD" w:rsidTr="00C3458B">
        <w:tc>
          <w:tcPr>
            <w:tcW w:w="1701" w:type="dxa"/>
          </w:tcPr>
          <w:p w:rsidR="00A45FBD" w:rsidRPr="00A45FBD" w:rsidRDefault="00A45FBD" w:rsidP="00CD324F">
            <w:pPr>
              <w:spacing w:line="276" w:lineRule="auto"/>
              <w:rPr>
                <w:b/>
              </w:rPr>
            </w:pPr>
            <w:r>
              <w:rPr>
                <w:b/>
              </w:rPr>
              <w:t>Locations</w:t>
            </w:r>
          </w:p>
        </w:tc>
        <w:tc>
          <w:tcPr>
            <w:tcW w:w="8878" w:type="dxa"/>
            <w:gridSpan w:val="5"/>
          </w:tcPr>
          <w:p w:rsidR="00A45FBD" w:rsidRDefault="00166111" w:rsidP="003C3B62">
            <w:pPr>
              <w:pStyle w:val="ListParagraph"/>
              <w:numPr>
                <w:ilvl w:val="0"/>
                <w:numId w:val="1"/>
              </w:numPr>
              <w:spacing w:line="276" w:lineRule="auto"/>
            </w:pPr>
            <w:r>
              <w:t>Imagine Education SharePoint Portal</w:t>
            </w:r>
          </w:p>
          <w:p w:rsidR="00166111" w:rsidRDefault="00166111" w:rsidP="00166111">
            <w:pPr>
              <w:pStyle w:val="ListParagraph"/>
              <w:numPr>
                <w:ilvl w:val="0"/>
                <w:numId w:val="1"/>
              </w:numPr>
              <w:spacing w:after="80" w:line="276" w:lineRule="auto"/>
              <w:ind w:left="714" w:hanging="357"/>
              <w:contextualSpacing w:val="0"/>
            </w:pPr>
            <w:r>
              <w:t>Imagine Education Website</w:t>
            </w:r>
          </w:p>
        </w:tc>
      </w:tr>
      <w:tr w:rsidR="00A45FBD" w:rsidTr="00C3458B">
        <w:tc>
          <w:tcPr>
            <w:tcW w:w="1701" w:type="dxa"/>
          </w:tcPr>
          <w:p w:rsidR="00A45FBD" w:rsidRDefault="00A45FBD" w:rsidP="00CD324F">
            <w:pPr>
              <w:spacing w:line="276" w:lineRule="auto"/>
              <w:rPr>
                <w:b/>
              </w:rPr>
            </w:pPr>
            <w:r>
              <w:rPr>
                <w:b/>
              </w:rPr>
              <w:t>File Location</w:t>
            </w:r>
          </w:p>
        </w:tc>
        <w:tc>
          <w:tcPr>
            <w:tcW w:w="8878" w:type="dxa"/>
            <w:gridSpan w:val="5"/>
          </w:tcPr>
          <w:p w:rsidR="00A45FBD" w:rsidRDefault="00166111" w:rsidP="00166111">
            <w:pPr>
              <w:spacing w:after="80" w:line="276" w:lineRule="auto"/>
            </w:pPr>
            <w:r w:rsidRPr="00166111">
              <w:t>"J:\Compliance\Policies and Procedures and Forms\Our Students\POLICIES AND PROCEDURES</w:t>
            </w:r>
            <w:r>
              <w:t xml:space="preserve"> </w:t>
            </w:r>
            <w:r w:rsidRPr="00166111">
              <w:t xml:space="preserve">\Domestic </w:t>
            </w:r>
            <w:r w:rsidR="00175F77">
              <w:t>–</w:t>
            </w:r>
            <w:r w:rsidRPr="00166111">
              <w:t xml:space="preserve"> </w:t>
            </w:r>
            <w:r w:rsidR="00175F77">
              <w:t>Apprenticeship &amp; Traineeship</w:t>
            </w:r>
            <w:r w:rsidRPr="00166111">
              <w:t xml:space="preserve"> Student Contribution Fees Policy and Procedure v</w:t>
            </w:r>
            <w:r>
              <w:t>2.0</w:t>
            </w:r>
            <w:r w:rsidRPr="00166111">
              <w:t>.docx"</w:t>
            </w:r>
          </w:p>
        </w:tc>
      </w:tr>
    </w:tbl>
    <w:p w:rsidR="00A45FBD" w:rsidRDefault="00A45FBD" w:rsidP="005A6FC8">
      <w:pPr>
        <w:spacing w:after="0"/>
        <w:ind w:left="-567" w:right="-613"/>
      </w:pPr>
    </w:p>
    <w:sectPr w:rsidR="00A45FBD" w:rsidSect="00C42CEF">
      <w:headerReference w:type="default" r:id="rId9"/>
      <w:footerReference w:type="default" r:id="rId10"/>
      <w:pgSz w:w="11906" w:h="16838"/>
      <w:pgMar w:top="2410" w:right="707" w:bottom="17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6FC8" w:rsidRDefault="005A6FC8" w:rsidP="005A6FC8">
      <w:pPr>
        <w:spacing w:after="0" w:line="240" w:lineRule="auto"/>
      </w:pPr>
      <w:r>
        <w:separator/>
      </w:r>
    </w:p>
  </w:endnote>
  <w:endnote w:type="continuationSeparator" w:id="0">
    <w:p w:rsidR="005A6FC8" w:rsidRDefault="005A6FC8" w:rsidP="005A6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CEF" w:rsidRDefault="00C42CEF">
    <w:pPr>
      <w:pStyle w:val="Footer"/>
      <w:jc w:val="right"/>
    </w:pPr>
    <w:r>
      <w:rPr>
        <w:noProof/>
        <w:lang w:eastAsia="en-AU"/>
      </w:rPr>
      <mc:AlternateContent>
        <mc:Choice Requires="wps">
          <w:drawing>
            <wp:anchor distT="0" distB="0" distL="114300" distR="114300" simplePos="0" relativeHeight="251662336" behindDoc="1" locked="0" layoutInCell="1" allowOverlap="1" wp14:anchorId="18697C65" wp14:editId="21D5FC2B">
              <wp:simplePos x="0" y="0"/>
              <wp:positionH relativeFrom="page">
                <wp:posOffset>1751330</wp:posOffset>
              </wp:positionH>
              <wp:positionV relativeFrom="page">
                <wp:posOffset>9729470</wp:posOffset>
              </wp:positionV>
              <wp:extent cx="4039235" cy="779145"/>
              <wp:effectExtent l="0" t="0" r="18415" b="1905"/>
              <wp:wrapNone/>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235" cy="779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CEF" w:rsidRDefault="00C42CEF" w:rsidP="00C42CEF">
                          <w:pPr>
                            <w:spacing w:before="1" w:after="0" w:line="223" w:lineRule="exact"/>
                            <w:ind w:left="8" w:right="11"/>
                            <w:jc w:val="center"/>
                            <w:rPr>
                              <w:sz w:val="20"/>
                            </w:rPr>
                          </w:pPr>
                          <w:r>
                            <w:rPr>
                              <w:color w:val="001F5F"/>
                              <w:sz w:val="20"/>
                            </w:rPr>
                            <w:t>Imagine</w:t>
                          </w:r>
                          <w:r>
                            <w:rPr>
                              <w:color w:val="001F5F"/>
                              <w:spacing w:val="-4"/>
                              <w:sz w:val="20"/>
                            </w:rPr>
                            <w:t xml:space="preserve"> </w:t>
                          </w:r>
                          <w:r>
                            <w:rPr>
                              <w:color w:val="001F5F"/>
                              <w:sz w:val="20"/>
                            </w:rPr>
                            <w:t>Education</w:t>
                          </w:r>
                          <w:r>
                            <w:rPr>
                              <w:color w:val="001F5F"/>
                              <w:spacing w:val="-2"/>
                              <w:sz w:val="20"/>
                            </w:rPr>
                            <w:t xml:space="preserve"> </w:t>
                          </w:r>
                          <w:r>
                            <w:rPr>
                              <w:color w:val="001F5F"/>
                              <w:sz w:val="20"/>
                            </w:rPr>
                            <w:t>Australia</w:t>
                          </w:r>
                          <w:r>
                            <w:rPr>
                              <w:color w:val="001F5F"/>
                              <w:spacing w:val="-3"/>
                              <w:sz w:val="20"/>
                            </w:rPr>
                            <w:t xml:space="preserve"> </w:t>
                          </w:r>
                          <w:r>
                            <w:rPr>
                              <w:color w:val="001F5F"/>
                              <w:sz w:val="20"/>
                            </w:rPr>
                            <w:t>Pty</w:t>
                          </w:r>
                          <w:r>
                            <w:rPr>
                              <w:color w:val="001F5F"/>
                              <w:spacing w:val="-2"/>
                              <w:sz w:val="20"/>
                            </w:rPr>
                            <w:t xml:space="preserve"> </w:t>
                          </w:r>
                          <w:r>
                            <w:rPr>
                              <w:color w:val="001F5F"/>
                              <w:sz w:val="20"/>
                            </w:rPr>
                            <w:t>Ltd</w:t>
                          </w:r>
                          <w:r>
                            <w:rPr>
                              <w:color w:val="001F5F"/>
                              <w:spacing w:val="43"/>
                              <w:sz w:val="20"/>
                            </w:rPr>
                            <w:t xml:space="preserve"> </w:t>
                          </w:r>
                          <w:r>
                            <w:rPr>
                              <w:color w:val="001F5F"/>
                              <w:sz w:val="20"/>
                            </w:rPr>
                            <w:t>|</w:t>
                          </w:r>
                          <w:r>
                            <w:rPr>
                              <w:color w:val="001F5F"/>
                              <w:spacing w:val="40"/>
                              <w:sz w:val="20"/>
                            </w:rPr>
                            <w:t xml:space="preserve"> </w:t>
                          </w:r>
                          <w:hyperlink r:id="rId1">
                            <w:r>
                              <w:rPr>
                                <w:color w:val="001F5F"/>
                                <w:sz w:val="20"/>
                              </w:rPr>
                              <w:t>www.imagineeducation.com.au</w:t>
                            </w:r>
                          </w:hyperlink>
                        </w:p>
                        <w:p w:rsidR="00C42CEF" w:rsidRDefault="00C42CEF" w:rsidP="00C42CEF">
                          <w:pPr>
                            <w:spacing w:before="1" w:after="0"/>
                            <w:ind w:left="7" w:right="11"/>
                            <w:jc w:val="center"/>
                            <w:rPr>
                              <w:sz w:val="20"/>
                            </w:rPr>
                          </w:pPr>
                          <w:r>
                            <w:rPr>
                              <w:color w:val="001F5F"/>
                              <w:sz w:val="20"/>
                            </w:rPr>
                            <w:t>13</w:t>
                          </w:r>
                          <w:r>
                            <w:rPr>
                              <w:color w:val="001F5F"/>
                              <w:spacing w:val="-3"/>
                              <w:sz w:val="20"/>
                            </w:rPr>
                            <w:t xml:space="preserve"> </w:t>
                          </w:r>
                          <w:r>
                            <w:rPr>
                              <w:color w:val="001F5F"/>
                              <w:sz w:val="20"/>
                            </w:rPr>
                            <w:t>Benowa</w:t>
                          </w:r>
                          <w:r>
                            <w:rPr>
                              <w:color w:val="001F5F"/>
                              <w:spacing w:val="-2"/>
                              <w:sz w:val="20"/>
                            </w:rPr>
                            <w:t xml:space="preserve"> </w:t>
                          </w:r>
                          <w:r>
                            <w:rPr>
                              <w:color w:val="001F5F"/>
                              <w:sz w:val="20"/>
                            </w:rPr>
                            <w:t>Road,</w:t>
                          </w:r>
                          <w:r>
                            <w:rPr>
                              <w:color w:val="001F5F"/>
                              <w:spacing w:val="-2"/>
                              <w:sz w:val="20"/>
                            </w:rPr>
                            <w:t xml:space="preserve"> </w:t>
                          </w:r>
                          <w:r>
                            <w:rPr>
                              <w:color w:val="001F5F"/>
                              <w:sz w:val="20"/>
                            </w:rPr>
                            <w:t>Southport</w:t>
                          </w:r>
                          <w:r>
                            <w:rPr>
                              <w:color w:val="001F5F"/>
                              <w:spacing w:val="42"/>
                              <w:sz w:val="20"/>
                            </w:rPr>
                            <w:t xml:space="preserve"> </w:t>
                          </w:r>
                          <w:r>
                            <w:rPr>
                              <w:color w:val="001F5F"/>
                              <w:sz w:val="20"/>
                            </w:rPr>
                            <w:t>QLD</w:t>
                          </w:r>
                          <w:r>
                            <w:rPr>
                              <w:color w:val="001F5F"/>
                              <w:spacing w:val="-2"/>
                              <w:sz w:val="20"/>
                            </w:rPr>
                            <w:t xml:space="preserve"> </w:t>
                          </w:r>
                          <w:r>
                            <w:rPr>
                              <w:color w:val="001F5F"/>
                              <w:sz w:val="20"/>
                            </w:rPr>
                            <w:t>4215</w:t>
                          </w:r>
                        </w:p>
                        <w:p w:rsidR="00C42CEF" w:rsidRDefault="00C42CEF" w:rsidP="00C42CEF">
                          <w:pPr>
                            <w:spacing w:before="1" w:after="0"/>
                            <w:ind w:left="9" w:right="11"/>
                            <w:jc w:val="center"/>
                            <w:rPr>
                              <w:sz w:val="20"/>
                            </w:rPr>
                          </w:pPr>
                          <w:r w:rsidRPr="00C42CEF">
                            <w:rPr>
                              <w:color w:val="001F5F"/>
                              <w:sz w:val="20"/>
                            </w:rPr>
                            <w:t>Ph.</w:t>
                          </w:r>
                          <w:r w:rsidRPr="00C42CEF">
                            <w:rPr>
                              <w:color w:val="001F5F"/>
                              <w:spacing w:val="-2"/>
                              <w:sz w:val="20"/>
                            </w:rPr>
                            <w:t xml:space="preserve"> </w:t>
                          </w:r>
                          <w:r w:rsidRPr="00C42CEF">
                            <w:rPr>
                              <w:color w:val="001F5F"/>
                              <w:sz w:val="20"/>
                            </w:rPr>
                            <w:t>+617</w:t>
                          </w:r>
                          <w:r w:rsidRPr="00C42CEF">
                            <w:rPr>
                              <w:color w:val="001F5F"/>
                              <w:spacing w:val="-3"/>
                              <w:sz w:val="20"/>
                            </w:rPr>
                            <w:t xml:space="preserve"> </w:t>
                          </w:r>
                          <w:r w:rsidRPr="00C42CEF">
                            <w:rPr>
                              <w:color w:val="001F5F"/>
                              <w:sz w:val="20"/>
                            </w:rPr>
                            <w:t>5552</w:t>
                          </w:r>
                          <w:r w:rsidRPr="00C42CEF">
                            <w:rPr>
                              <w:color w:val="001F5F"/>
                              <w:spacing w:val="-2"/>
                              <w:sz w:val="20"/>
                            </w:rPr>
                            <w:t xml:space="preserve"> </w:t>
                          </w:r>
                          <w:r w:rsidRPr="00C42CEF">
                            <w:rPr>
                              <w:color w:val="001F5F"/>
                              <w:sz w:val="20"/>
                            </w:rPr>
                            <w:t>0900</w:t>
                          </w:r>
                          <w:r w:rsidRPr="00C42CEF">
                            <w:rPr>
                              <w:color w:val="001F5F"/>
                              <w:spacing w:val="41"/>
                              <w:sz w:val="20"/>
                            </w:rPr>
                            <w:t xml:space="preserve"> </w:t>
                          </w:r>
                          <w:r w:rsidRPr="00C42CEF">
                            <w:rPr>
                              <w:color w:val="001F5F"/>
                              <w:sz w:val="20"/>
                            </w:rPr>
                            <w:t>|</w:t>
                          </w:r>
                          <w:r w:rsidRPr="00C42CEF">
                            <w:rPr>
                              <w:color w:val="001F5F"/>
                              <w:spacing w:val="41"/>
                              <w:sz w:val="20"/>
                            </w:rPr>
                            <w:t xml:space="preserve"> </w:t>
                          </w:r>
                          <w:r w:rsidRPr="00C42CEF">
                            <w:rPr>
                              <w:color w:val="001F5F"/>
                              <w:sz w:val="20"/>
                            </w:rPr>
                            <w:t>E.</w:t>
                          </w:r>
                          <w:r w:rsidRPr="00C42CEF">
                            <w:rPr>
                              <w:color w:val="001F5F"/>
                              <w:spacing w:val="-1"/>
                              <w:sz w:val="20"/>
                            </w:rPr>
                            <w:t xml:space="preserve"> </w:t>
                          </w:r>
                          <w:hyperlink r:id="rId2">
                            <w:r w:rsidRPr="00C42CEF">
                              <w:rPr>
                                <w:color w:val="001F5F"/>
                                <w:sz w:val="20"/>
                              </w:rPr>
                              <w:t>info@imagineeducation.com.au</w:t>
                            </w:r>
                          </w:hyperlink>
                        </w:p>
                        <w:p w:rsidR="00C42CEF" w:rsidRDefault="00C42CEF" w:rsidP="00C42CEF">
                          <w:pPr>
                            <w:spacing w:before="1" w:after="0"/>
                            <w:ind w:left="9" w:right="11"/>
                            <w:jc w:val="center"/>
                            <w:rPr>
                              <w:sz w:val="20"/>
                            </w:rPr>
                          </w:pPr>
                          <w:r>
                            <w:rPr>
                              <w:color w:val="001F5F"/>
                              <w:sz w:val="20"/>
                            </w:rPr>
                            <w:t>National</w:t>
                          </w:r>
                          <w:r>
                            <w:rPr>
                              <w:color w:val="001F5F"/>
                              <w:spacing w:val="-2"/>
                              <w:sz w:val="20"/>
                            </w:rPr>
                            <w:t xml:space="preserve"> </w:t>
                          </w:r>
                          <w:r>
                            <w:rPr>
                              <w:color w:val="001F5F"/>
                              <w:sz w:val="20"/>
                            </w:rPr>
                            <w:t>Provider:</w:t>
                          </w:r>
                          <w:r>
                            <w:rPr>
                              <w:color w:val="001F5F"/>
                              <w:spacing w:val="-2"/>
                              <w:sz w:val="20"/>
                            </w:rPr>
                            <w:t xml:space="preserve"> </w:t>
                          </w:r>
                          <w:r>
                            <w:rPr>
                              <w:color w:val="001F5F"/>
                              <w:sz w:val="20"/>
                            </w:rPr>
                            <w:t>31302</w:t>
                          </w:r>
                          <w:r>
                            <w:rPr>
                              <w:color w:val="001F5F"/>
                              <w:spacing w:val="44"/>
                              <w:sz w:val="20"/>
                            </w:rPr>
                            <w:t xml:space="preserve"> </w:t>
                          </w:r>
                          <w:r>
                            <w:rPr>
                              <w:color w:val="001F5F"/>
                              <w:sz w:val="20"/>
                            </w:rPr>
                            <w:t>|</w:t>
                          </w:r>
                          <w:r>
                            <w:rPr>
                              <w:color w:val="001F5F"/>
                              <w:spacing w:val="44"/>
                              <w:sz w:val="20"/>
                            </w:rPr>
                            <w:t xml:space="preserve"> </w:t>
                          </w:r>
                          <w:r>
                            <w:rPr>
                              <w:color w:val="001F5F"/>
                              <w:sz w:val="20"/>
                            </w:rPr>
                            <w:t>CRICOS</w:t>
                          </w:r>
                          <w:r>
                            <w:rPr>
                              <w:color w:val="001F5F"/>
                              <w:spacing w:val="-2"/>
                              <w:sz w:val="20"/>
                            </w:rPr>
                            <w:t xml:space="preserve"> </w:t>
                          </w:r>
                          <w:r>
                            <w:rPr>
                              <w:color w:val="001F5F"/>
                              <w:sz w:val="20"/>
                            </w:rPr>
                            <w:t>Provider: 02695C</w:t>
                          </w:r>
                          <w:r>
                            <w:rPr>
                              <w:color w:val="001F5F"/>
                              <w:spacing w:val="44"/>
                              <w:sz w:val="20"/>
                            </w:rPr>
                            <w:t xml:space="preserve"> </w:t>
                          </w:r>
                          <w:r>
                            <w:rPr>
                              <w:color w:val="001F5F"/>
                              <w:sz w:val="20"/>
                            </w:rPr>
                            <w:t>|</w:t>
                          </w:r>
                          <w:r>
                            <w:rPr>
                              <w:color w:val="001F5F"/>
                              <w:spacing w:val="44"/>
                              <w:sz w:val="20"/>
                            </w:rPr>
                            <w:t xml:space="preserve"> </w:t>
                          </w:r>
                          <w:r>
                            <w:rPr>
                              <w:color w:val="001F5F"/>
                              <w:sz w:val="20"/>
                            </w:rPr>
                            <w:t>ABN:</w:t>
                          </w:r>
                          <w:r>
                            <w:rPr>
                              <w:color w:val="001F5F"/>
                              <w:spacing w:val="-2"/>
                              <w:sz w:val="20"/>
                            </w:rPr>
                            <w:t xml:space="preserve"> </w:t>
                          </w:r>
                          <w:r>
                            <w:rPr>
                              <w:color w:val="001F5F"/>
                              <w:sz w:val="20"/>
                            </w:rPr>
                            <w:t>27</w:t>
                          </w:r>
                          <w:r>
                            <w:rPr>
                              <w:color w:val="001F5F"/>
                              <w:spacing w:val="-3"/>
                              <w:sz w:val="20"/>
                            </w:rPr>
                            <w:t xml:space="preserve"> </w:t>
                          </w:r>
                          <w:r>
                            <w:rPr>
                              <w:color w:val="001F5F"/>
                              <w:sz w:val="20"/>
                            </w:rPr>
                            <w:t>620</w:t>
                          </w:r>
                          <w:r>
                            <w:rPr>
                              <w:color w:val="001F5F"/>
                              <w:spacing w:val="-2"/>
                              <w:sz w:val="20"/>
                            </w:rPr>
                            <w:t xml:space="preserve"> </w:t>
                          </w:r>
                          <w:r>
                            <w:rPr>
                              <w:color w:val="001F5F"/>
                              <w:sz w:val="20"/>
                            </w:rPr>
                            <w:t>585</w:t>
                          </w:r>
                          <w:r>
                            <w:rPr>
                              <w:color w:val="001F5F"/>
                              <w:spacing w:val="-2"/>
                              <w:sz w:val="20"/>
                            </w:rPr>
                            <w:t xml:space="preserve"> </w:t>
                          </w:r>
                          <w:r>
                            <w:rPr>
                              <w:color w:val="001F5F"/>
                              <w:sz w:val="20"/>
                            </w:rPr>
                            <w:t>615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697C65" id="_x0000_t202" coordsize="21600,21600" o:spt="202" path="m,l,21600r21600,l21600,xe">
              <v:stroke joinstyle="miter"/>
              <v:path gradientshapeok="t" o:connecttype="rect"/>
            </v:shapetype>
            <v:shape id="docshape4" o:spid="_x0000_s1027" type="#_x0000_t202" style="position:absolute;left:0;text-align:left;margin-left:137.9pt;margin-top:766.1pt;width:318.05pt;height:6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" filled="f" stroked="f">
              <v:textbox inset="0,0,0,0">
                <w:txbxContent>
                  <w:p w:rsidR="00C42CEF" w:rsidRDefault="00C42CEF" w:rsidP="00C42CEF">
                    <w:pPr>
                      <w:spacing w:before="1" w:after="0" w:line="223" w:lineRule="exact"/>
                      <w:ind w:left="8" w:right="11"/>
                      <w:jc w:val="center"/>
                      <w:rPr>
                        <w:sz w:val="20"/>
                      </w:rPr>
                    </w:pPr>
                    <w:r>
                      <w:rPr>
                        <w:color w:val="001F5F"/>
                        <w:sz w:val="20"/>
                      </w:rPr>
                      <w:t>Imagine</w:t>
                    </w:r>
                    <w:r>
                      <w:rPr>
                        <w:color w:val="001F5F"/>
                        <w:spacing w:val="-4"/>
                        <w:sz w:val="20"/>
                      </w:rPr>
                      <w:t xml:space="preserve"> </w:t>
                    </w:r>
                    <w:r>
                      <w:rPr>
                        <w:color w:val="001F5F"/>
                        <w:sz w:val="20"/>
                      </w:rPr>
                      <w:t>Education</w:t>
                    </w:r>
                    <w:r>
                      <w:rPr>
                        <w:color w:val="001F5F"/>
                        <w:spacing w:val="-2"/>
                        <w:sz w:val="20"/>
                      </w:rPr>
                      <w:t xml:space="preserve"> </w:t>
                    </w:r>
                    <w:r>
                      <w:rPr>
                        <w:color w:val="001F5F"/>
                        <w:sz w:val="20"/>
                      </w:rPr>
                      <w:t>Australia</w:t>
                    </w:r>
                    <w:r>
                      <w:rPr>
                        <w:color w:val="001F5F"/>
                        <w:spacing w:val="-3"/>
                        <w:sz w:val="20"/>
                      </w:rPr>
                      <w:t xml:space="preserve"> </w:t>
                    </w:r>
                    <w:r>
                      <w:rPr>
                        <w:color w:val="001F5F"/>
                        <w:sz w:val="20"/>
                      </w:rPr>
                      <w:t>Pty</w:t>
                    </w:r>
                    <w:r>
                      <w:rPr>
                        <w:color w:val="001F5F"/>
                        <w:spacing w:val="-2"/>
                        <w:sz w:val="20"/>
                      </w:rPr>
                      <w:t xml:space="preserve"> </w:t>
                    </w:r>
                    <w:r>
                      <w:rPr>
                        <w:color w:val="001F5F"/>
                        <w:sz w:val="20"/>
                      </w:rPr>
                      <w:t>Ltd</w:t>
                    </w:r>
                    <w:r>
                      <w:rPr>
                        <w:color w:val="001F5F"/>
                        <w:spacing w:val="43"/>
                        <w:sz w:val="20"/>
                      </w:rPr>
                      <w:t xml:space="preserve"> </w:t>
                    </w:r>
                    <w:r>
                      <w:rPr>
                        <w:color w:val="001F5F"/>
                        <w:sz w:val="20"/>
                      </w:rPr>
                      <w:t>|</w:t>
                    </w:r>
                    <w:r>
                      <w:rPr>
                        <w:color w:val="001F5F"/>
                        <w:spacing w:val="40"/>
                        <w:sz w:val="20"/>
                      </w:rPr>
                      <w:t xml:space="preserve"> </w:t>
                    </w:r>
                    <w:hyperlink r:id="rId3">
                      <w:r>
                        <w:rPr>
                          <w:color w:val="001F5F"/>
                          <w:sz w:val="20"/>
                        </w:rPr>
                        <w:t>www.imagineeducation.com.au</w:t>
                      </w:r>
                    </w:hyperlink>
                  </w:p>
                  <w:p w:rsidR="00C42CEF" w:rsidRDefault="00C42CEF" w:rsidP="00C42CEF">
                    <w:pPr>
                      <w:spacing w:before="1" w:after="0"/>
                      <w:ind w:left="7" w:right="11"/>
                      <w:jc w:val="center"/>
                      <w:rPr>
                        <w:sz w:val="20"/>
                      </w:rPr>
                    </w:pPr>
                    <w:r>
                      <w:rPr>
                        <w:color w:val="001F5F"/>
                        <w:sz w:val="20"/>
                      </w:rPr>
                      <w:t>13</w:t>
                    </w:r>
                    <w:r>
                      <w:rPr>
                        <w:color w:val="001F5F"/>
                        <w:spacing w:val="-3"/>
                        <w:sz w:val="20"/>
                      </w:rPr>
                      <w:t xml:space="preserve"> </w:t>
                    </w:r>
                    <w:r>
                      <w:rPr>
                        <w:color w:val="001F5F"/>
                        <w:sz w:val="20"/>
                      </w:rPr>
                      <w:t>Benowa</w:t>
                    </w:r>
                    <w:r>
                      <w:rPr>
                        <w:color w:val="001F5F"/>
                        <w:spacing w:val="-2"/>
                        <w:sz w:val="20"/>
                      </w:rPr>
                      <w:t xml:space="preserve"> </w:t>
                    </w:r>
                    <w:r>
                      <w:rPr>
                        <w:color w:val="001F5F"/>
                        <w:sz w:val="20"/>
                      </w:rPr>
                      <w:t>Road,</w:t>
                    </w:r>
                    <w:r>
                      <w:rPr>
                        <w:color w:val="001F5F"/>
                        <w:spacing w:val="-2"/>
                        <w:sz w:val="20"/>
                      </w:rPr>
                      <w:t xml:space="preserve"> </w:t>
                    </w:r>
                    <w:r>
                      <w:rPr>
                        <w:color w:val="001F5F"/>
                        <w:sz w:val="20"/>
                      </w:rPr>
                      <w:t>Southport</w:t>
                    </w:r>
                    <w:r>
                      <w:rPr>
                        <w:color w:val="001F5F"/>
                        <w:spacing w:val="42"/>
                        <w:sz w:val="20"/>
                      </w:rPr>
                      <w:t xml:space="preserve"> </w:t>
                    </w:r>
                    <w:r>
                      <w:rPr>
                        <w:color w:val="001F5F"/>
                        <w:sz w:val="20"/>
                      </w:rPr>
                      <w:t>QLD</w:t>
                    </w:r>
                    <w:r>
                      <w:rPr>
                        <w:color w:val="001F5F"/>
                        <w:spacing w:val="-2"/>
                        <w:sz w:val="20"/>
                      </w:rPr>
                      <w:t xml:space="preserve"> </w:t>
                    </w:r>
                    <w:r>
                      <w:rPr>
                        <w:color w:val="001F5F"/>
                        <w:sz w:val="20"/>
                      </w:rPr>
                      <w:t>4215</w:t>
                    </w:r>
                  </w:p>
                  <w:p w:rsidR="00C42CEF" w:rsidRDefault="00C42CEF" w:rsidP="00C42CEF">
                    <w:pPr>
                      <w:spacing w:before="1" w:after="0"/>
                      <w:ind w:left="9" w:right="11"/>
                      <w:jc w:val="center"/>
                      <w:rPr>
                        <w:sz w:val="20"/>
                      </w:rPr>
                    </w:pPr>
                    <w:r w:rsidRPr="00C42CEF">
                      <w:rPr>
                        <w:color w:val="001F5F"/>
                        <w:sz w:val="20"/>
                      </w:rPr>
                      <w:t>Ph.</w:t>
                    </w:r>
                    <w:r w:rsidRPr="00C42CEF">
                      <w:rPr>
                        <w:color w:val="001F5F"/>
                        <w:spacing w:val="-2"/>
                        <w:sz w:val="20"/>
                      </w:rPr>
                      <w:t xml:space="preserve"> </w:t>
                    </w:r>
                    <w:r w:rsidRPr="00C42CEF">
                      <w:rPr>
                        <w:color w:val="001F5F"/>
                        <w:sz w:val="20"/>
                      </w:rPr>
                      <w:t>+617</w:t>
                    </w:r>
                    <w:r w:rsidRPr="00C42CEF">
                      <w:rPr>
                        <w:color w:val="001F5F"/>
                        <w:spacing w:val="-3"/>
                        <w:sz w:val="20"/>
                      </w:rPr>
                      <w:t xml:space="preserve"> </w:t>
                    </w:r>
                    <w:r w:rsidRPr="00C42CEF">
                      <w:rPr>
                        <w:color w:val="001F5F"/>
                        <w:sz w:val="20"/>
                      </w:rPr>
                      <w:t>5552</w:t>
                    </w:r>
                    <w:r w:rsidRPr="00C42CEF">
                      <w:rPr>
                        <w:color w:val="001F5F"/>
                        <w:spacing w:val="-2"/>
                        <w:sz w:val="20"/>
                      </w:rPr>
                      <w:t xml:space="preserve"> </w:t>
                    </w:r>
                    <w:r w:rsidRPr="00C42CEF">
                      <w:rPr>
                        <w:color w:val="001F5F"/>
                        <w:sz w:val="20"/>
                      </w:rPr>
                      <w:t>0900</w:t>
                    </w:r>
                    <w:r w:rsidRPr="00C42CEF">
                      <w:rPr>
                        <w:color w:val="001F5F"/>
                        <w:spacing w:val="41"/>
                        <w:sz w:val="20"/>
                      </w:rPr>
                      <w:t xml:space="preserve"> </w:t>
                    </w:r>
                    <w:r w:rsidRPr="00C42CEF">
                      <w:rPr>
                        <w:color w:val="001F5F"/>
                        <w:sz w:val="20"/>
                      </w:rPr>
                      <w:t>|</w:t>
                    </w:r>
                    <w:r w:rsidRPr="00C42CEF">
                      <w:rPr>
                        <w:color w:val="001F5F"/>
                        <w:spacing w:val="41"/>
                        <w:sz w:val="20"/>
                      </w:rPr>
                      <w:t xml:space="preserve"> </w:t>
                    </w:r>
                    <w:r w:rsidRPr="00C42CEF">
                      <w:rPr>
                        <w:color w:val="001F5F"/>
                        <w:sz w:val="20"/>
                      </w:rPr>
                      <w:t>E.</w:t>
                    </w:r>
                    <w:r w:rsidRPr="00C42CEF">
                      <w:rPr>
                        <w:color w:val="001F5F"/>
                        <w:spacing w:val="-1"/>
                        <w:sz w:val="20"/>
                      </w:rPr>
                      <w:t xml:space="preserve"> </w:t>
                    </w:r>
                    <w:hyperlink r:id="rId4">
                      <w:r w:rsidRPr="00C42CEF">
                        <w:rPr>
                          <w:color w:val="001F5F"/>
                          <w:sz w:val="20"/>
                        </w:rPr>
                        <w:t>info@imagineeducation.com.au</w:t>
                      </w:r>
                    </w:hyperlink>
                  </w:p>
                  <w:p w:rsidR="00C42CEF" w:rsidRDefault="00C42CEF" w:rsidP="00C42CEF">
                    <w:pPr>
                      <w:spacing w:before="1" w:after="0"/>
                      <w:ind w:left="9" w:right="11"/>
                      <w:jc w:val="center"/>
                      <w:rPr>
                        <w:sz w:val="20"/>
                      </w:rPr>
                    </w:pPr>
                    <w:r>
                      <w:rPr>
                        <w:color w:val="001F5F"/>
                        <w:sz w:val="20"/>
                      </w:rPr>
                      <w:t>National</w:t>
                    </w:r>
                    <w:r>
                      <w:rPr>
                        <w:color w:val="001F5F"/>
                        <w:spacing w:val="-2"/>
                        <w:sz w:val="20"/>
                      </w:rPr>
                      <w:t xml:space="preserve"> </w:t>
                    </w:r>
                    <w:r>
                      <w:rPr>
                        <w:color w:val="001F5F"/>
                        <w:sz w:val="20"/>
                      </w:rPr>
                      <w:t>Provider:</w:t>
                    </w:r>
                    <w:r>
                      <w:rPr>
                        <w:color w:val="001F5F"/>
                        <w:spacing w:val="-2"/>
                        <w:sz w:val="20"/>
                      </w:rPr>
                      <w:t xml:space="preserve"> </w:t>
                    </w:r>
                    <w:r>
                      <w:rPr>
                        <w:color w:val="001F5F"/>
                        <w:sz w:val="20"/>
                      </w:rPr>
                      <w:t>31302</w:t>
                    </w:r>
                    <w:r>
                      <w:rPr>
                        <w:color w:val="001F5F"/>
                        <w:spacing w:val="44"/>
                        <w:sz w:val="20"/>
                      </w:rPr>
                      <w:t xml:space="preserve"> </w:t>
                    </w:r>
                    <w:r>
                      <w:rPr>
                        <w:color w:val="001F5F"/>
                        <w:sz w:val="20"/>
                      </w:rPr>
                      <w:t>|</w:t>
                    </w:r>
                    <w:r>
                      <w:rPr>
                        <w:color w:val="001F5F"/>
                        <w:spacing w:val="44"/>
                        <w:sz w:val="20"/>
                      </w:rPr>
                      <w:t xml:space="preserve"> </w:t>
                    </w:r>
                    <w:r>
                      <w:rPr>
                        <w:color w:val="001F5F"/>
                        <w:sz w:val="20"/>
                      </w:rPr>
                      <w:t>CRICOS</w:t>
                    </w:r>
                    <w:r>
                      <w:rPr>
                        <w:color w:val="001F5F"/>
                        <w:spacing w:val="-2"/>
                        <w:sz w:val="20"/>
                      </w:rPr>
                      <w:t xml:space="preserve"> </w:t>
                    </w:r>
                    <w:r>
                      <w:rPr>
                        <w:color w:val="001F5F"/>
                        <w:sz w:val="20"/>
                      </w:rPr>
                      <w:t>Provider: 02695C</w:t>
                    </w:r>
                    <w:r>
                      <w:rPr>
                        <w:color w:val="001F5F"/>
                        <w:spacing w:val="44"/>
                        <w:sz w:val="20"/>
                      </w:rPr>
                      <w:t xml:space="preserve"> </w:t>
                    </w:r>
                    <w:r>
                      <w:rPr>
                        <w:color w:val="001F5F"/>
                        <w:sz w:val="20"/>
                      </w:rPr>
                      <w:t>|</w:t>
                    </w:r>
                    <w:r>
                      <w:rPr>
                        <w:color w:val="001F5F"/>
                        <w:spacing w:val="44"/>
                        <w:sz w:val="20"/>
                      </w:rPr>
                      <w:t xml:space="preserve"> </w:t>
                    </w:r>
                    <w:r>
                      <w:rPr>
                        <w:color w:val="001F5F"/>
                        <w:sz w:val="20"/>
                      </w:rPr>
                      <w:t>ABN:</w:t>
                    </w:r>
                    <w:r>
                      <w:rPr>
                        <w:color w:val="001F5F"/>
                        <w:spacing w:val="-2"/>
                        <w:sz w:val="20"/>
                      </w:rPr>
                      <w:t xml:space="preserve"> </w:t>
                    </w:r>
                    <w:r>
                      <w:rPr>
                        <w:color w:val="001F5F"/>
                        <w:sz w:val="20"/>
                      </w:rPr>
                      <w:t>27</w:t>
                    </w:r>
                    <w:r>
                      <w:rPr>
                        <w:color w:val="001F5F"/>
                        <w:spacing w:val="-3"/>
                        <w:sz w:val="20"/>
                      </w:rPr>
                      <w:t xml:space="preserve"> </w:t>
                    </w:r>
                    <w:r>
                      <w:rPr>
                        <w:color w:val="001F5F"/>
                        <w:sz w:val="20"/>
                      </w:rPr>
                      <w:t>620</w:t>
                    </w:r>
                    <w:r>
                      <w:rPr>
                        <w:color w:val="001F5F"/>
                        <w:spacing w:val="-2"/>
                        <w:sz w:val="20"/>
                      </w:rPr>
                      <w:t xml:space="preserve"> </w:t>
                    </w:r>
                    <w:r>
                      <w:rPr>
                        <w:color w:val="001F5F"/>
                        <w:sz w:val="20"/>
                      </w:rPr>
                      <w:t>585</w:t>
                    </w:r>
                    <w:r>
                      <w:rPr>
                        <w:color w:val="001F5F"/>
                        <w:spacing w:val="-2"/>
                        <w:sz w:val="20"/>
                      </w:rPr>
                      <w:t xml:space="preserve"> </w:t>
                    </w:r>
                    <w:r>
                      <w:rPr>
                        <w:color w:val="001F5F"/>
                        <w:sz w:val="20"/>
                      </w:rPr>
                      <w:t>615</w:t>
                    </w:r>
                  </w:p>
                </w:txbxContent>
              </v:textbox>
              <w10:wrap anchorx="page" anchory="page"/>
            </v:shape>
          </w:pict>
        </mc:Fallback>
      </mc:AlternateContent>
    </w:r>
    <w:sdt>
      <w:sdtPr>
        <w:id w:val="-1845237577"/>
        <w:docPartObj>
          <w:docPartGallery w:val="Page Numbers (Bottom of Page)"/>
          <w:docPartUnique/>
        </w:docPartObj>
      </w:sdtPr>
      <w:sdtEndPr/>
      <w:sdtContent>
        <w:r>
          <w:t xml:space="preserve">Page | </w:t>
        </w:r>
        <w:r>
          <w:fldChar w:fldCharType="begin"/>
        </w:r>
        <w:r>
          <w:instrText xml:space="preserve"> PAGE   \* MERGEFORMAT </w:instrText>
        </w:r>
        <w:r>
          <w:fldChar w:fldCharType="separate"/>
        </w:r>
        <w:r>
          <w:rPr>
            <w:noProof/>
          </w:rPr>
          <w:t>2</w:t>
        </w:r>
        <w:r>
          <w:rPr>
            <w:noProof/>
          </w:rPr>
          <w:fldChar w:fldCharType="end"/>
        </w:r>
        <w:r>
          <w:t xml:space="preserve"> </w:t>
        </w:r>
      </w:sdtContent>
    </w:sdt>
  </w:p>
  <w:p w:rsidR="005A6FC8" w:rsidRDefault="005A6F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6FC8" w:rsidRDefault="005A6FC8" w:rsidP="005A6FC8">
      <w:pPr>
        <w:spacing w:after="0" w:line="240" w:lineRule="auto"/>
      </w:pPr>
      <w:r>
        <w:separator/>
      </w:r>
    </w:p>
  </w:footnote>
  <w:footnote w:type="continuationSeparator" w:id="0">
    <w:p w:rsidR="005A6FC8" w:rsidRDefault="005A6FC8" w:rsidP="005A6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6FC8" w:rsidRDefault="005A6FC8">
    <w:pPr>
      <w:pStyle w:val="Header"/>
    </w:pPr>
    <w:r w:rsidRPr="005A6FC8">
      <w:rPr>
        <w:noProof/>
      </w:rPr>
      <mc:AlternateContent>
        <mc:Choice Requires="wps">
          <w:drawing>
            <wp:anchor distT="0" distB="0" distL="114300" distR="114300" simplePos="0" relativeHeight="251660288" behindDoc="1" locked="0" layoutInCell="1" allowOverlap="1" wp14:anchorId="0AE30D5D" wp14:editId="43846F11">
              <wp:simplePos x="0" y="0"/>
              <wp:positionH relativeFrom="page">
                <wp:posOffset>2385060</wp:posOffset>
              </wp:positionH>
              <wp:positionV relativeFrom="page">
                <wp:posOffset>638175</wp:posOffset>
              </wp:positionV>
              <wp:extent cx="4691380" cy="457200"/>
              <wp:effectExtent l="0" t="0" r="13970" b="0"/>
              <wp:wrapNone/>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138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6FC8" w:rsidRPr="00423A12" w:rsidRDefault="00175F77" w:rsidP="005A6FC8">
                          <w:pPr>
                            <w:spacing w:line="345" w:lineRule="exact"/>
                            <w:ind w:left="20"/>
                            <w:jc w:val="right"/>
                            <w:rPr>
                              <w:b/>
                              <w:sz w:val="32"/>
                              <w:lang w:val="en-US"/>
                            </w:rPr>
                          </w:pPr>
                          <w:r>
                            <w:rPr>
                              <w:b/>
                              <w:color w:val="252361"/>
                              <w:sz w:val="32"/>
                              <w:lang w:val="en-US"/>
                            </w:rPr>
                            <w:t>Apprenticeship/Traineeship</w:t>
                          </w:r>
                          <w:r w:rsidR="00AF5FD3">
                            <w:rPr>
                              <w:b/>
                              <w:color w:val="252361"/>
                              <w:sz w:val="32"/>
                              <w:lang w:val="en-US"/>
                            </w:rPr>
                            <w:t xml:space="preserve"> Student Contribution Fees</w:t>
                          </w:r>
                          <w:r w:rsidR="005A6FC8">
                            <w:rPr>
                              <w:b/>
                              <w:color w:val="252361"/>
                              <w:sz w:val="32"/>
                              <w:lang w:val="en-US"/>
                            </w:rPr>
                            <w:t xml:space="preserve"> Policy and Procedure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E30D5D" id="_x0000_t202" coordsize="21600,21600" o:spt="202" path="m,l,21600r21600,l21600,xe">
              <v:stroke joinstyle="miter"/>
              <v:path gradientshapeok="t" o:connecttype="rect"/>
            </v:shapetype>
            <v:shape id="docshape3" o:spid="_x0000_s1026" type="#_x0000_t202" style="position:absolute;margin-left:187.8pt;margin-top:50.25pt;width:369.4pt;height:3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" filled="f" stroked="f">
              <v:textbox inset="0,0,0,0">
                <w:txbxContent>
                  <w:p w:rsidR="005A6FC8" w:rsidRPr="00423A12" w:rsidRDefault="00175F77" w:rsidP="005A6FC8">
                    <w:pPr>
                      <w:spacing w:line="345" w:lineRule="exact"/>
                      <w:ind w:left="20"/>
                      <w:jc w:val="right"/>
                      <w:rPr>
                        <w:b/>
                        <w:sz w:val="32"/>
                        <w:lang w:val="en-US"/>
                      </w:rPr>
                    </w:pPr>
                    <w:r>
                      <w:rPr>
                        <w:b/>
                        <w:color w:val="252361"/>
                        <w:sz w:val="32"/>
                        <w:lang w:val="en-US"/>
                      </w:rPr>
                      <w:t>Apprenticeship/Traineeship</w:t>
                    </w:r>
                    <w:r w:rsidR="00AF5FD3">
                      <w:rPr>
                        <w:b/>
                        <w:color w:val="252361"/>
                        <w:sz w:val="32"/>
                        <w:lang w:val="en-US"/>
                      </w:rPr>
                      <w:t xml:space="preserve"> Student Contribution Fees</w:t>
                    </w:r>
                    <w:r w:rsidR="005A6FC8">
                      <w:rPr>
                        <w:b/>
                        <w:color w:val="252361"/>
                        <w:sz w:val="32"/>
                        <w:lang w:val="en-US"/>
                      </w:rPr>
                      <w:t xml:space="preserve"> Policy and Procedure</w:t>
                    </w:r>
                  </w:p>
                </w:txbxContent>
              </v:textbox>
              <w10:wrap anchorx="page" anchory="page"/>
            </v:shape>
          </w:pict>
        </mc:Fallback>
      </mc:AlternateContent>
    </w:r>
    <w:r w:rsidRPr="005A6FC8">
      <w:rPr>
        <w:noProof/>
      </w:rPr>
      <w:drawing>
        <wp:anchor distT="0" distB="0" distL="0" distR="0" simplePos="0" relativeHeight="251659264" behindDoc="1" locked="0" layoutInCell="1" allowOverlap="1" wp14:anchorId="141E688C" wp14:editId="6D9D7330">
          <wp:simplePos x="0" y="0"/>
          <wp:positionH relativeFrom="page">
            <wp:posOffset>485775</wp:posOffset>
          </wp:positionH>
          <wp:positionV relativeFrom="page">
            <wp:posOffset>401320</wp:posOffset>
          </wp:positionV>
          <wp:extent cx="1899285" cy="985520"/>
          <wp:effectExtent l="0" t="0" r="5715" b="5080"/>
          <wp:wrapNone/>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1899285" cy="9855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D6E7C"/>
    <w:multiLevelType w:val="hybridMultilevel"/>
    <w:tmpl w:val="E17A9D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382ACE"/>
    <w:multiLevelType w:val="hybridMultilevel"/>
    <w:tmpl w:val="BC6032C8"/>
    <w:lvl w:ilvl="0" w:tplc="512C59E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F216ABF"/>
    <w:multiLevelType w:val="hybridMultilevel"/>
    <w:tmpl w:val="C1F6B3EE"/>
    <w:lvl w:ilvl="0" w:tplc="4EA6AB28">
      <w:start w:val="1"/>
      <w:numFmt w:val="bullet"/>
      <w:lvlText w:val="•"/>
      <w:lvlJc w:val="left"/>
      <w:pPr>
        <w:ind w:left="1440" w:hanging="360"/>
      </w:pPr>
      <w:rPr>
        <w:rFonts w:ascii="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2F5D35F2"/>
    <w:multiLevelType w:val="hybridMultilevel"/>
    <w:tmpl w:val="65640DC8"/>
    <w:lvl w:ilvl="0" w:tplc="4EA6AB28">
      <w:start w:val="1"/>
      <w:numFmt w:val="bullet"/>
      <w:lvlText w:val="•"/>
      <w:lvlJc w:val="left"/>
      <w:pPr>
        <w:ind w:left="1440" w:hanging="360"/>
      </w:pPr>
      <w:rPr>
        <w:rFonts w:ascii="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30840637"/>
    <w:multiLevelType w:val="hybridMultilevel"/>
    <w:tmpl w:val="5A363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BAA1ADE"/>
    <w:multiLevelType w:val="hybridMultilevel"/>
    <w:tmpl w:val="C7C43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581047F"/>
    <w:multiLevelType w:val="hybridMultilevel"/>
    <w:tmpl w:val="8D82515C"/>
    <w:lvl w:ilvl="0" w:tplc="C298FD9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F760C70"/>
    <w:multiLevelType w:val="hybridMultilevel"/>
    <w:tmpl w:val="BFFA499C"/>
    <w:lvl w:ilvl="0" w:tplc="512C59EA">
      <w:start w:val="1"/>
      <w:numFmt w:val="lowerLetter"/>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0D50636"/>
    <w:multiLevelType w:val="hybridMultilevel"/>
    <w:tmpl w:val="006C6E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DA23F3C"/>
    <w:multiLevelType w:val="hybridMultilevel"/>
    <w:tmpl w:val="AB323A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E270D63"/>
    <w:multiLevelType w:val="hybridMultilevel"/>
    <w:tmpl w:val="9F6A191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75341571"/>
    <w:multiLevelType w:val="hybridMultilevel"/>
    <w:tmpl w:val="9EFC915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79B26622"/>
    <w:multiLevelType w:val="hybridMultilevel"/>
    <w:tmpl w:val="F83482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
  </w:num>
  <w:num w:numId="4">
    <w:abstractNumId w:val="7"/>
  </w:num>
  <w:num w:numId="5">
    <w:abstractNumId w:val="8"/>
  </w:num>
  <w:num w:numId="6">
    <w:abstractNumId w:val="9"/>
  </w:num>
  <w:num w:numId="7">
    <w:abstractNumId w:val="4"/>
  </w:num>
  <w:num w:numId="8">
    <w:abstractNumId w:val="2"/>
  </w:num>
  <w:num w:numId="9">
    <w:abstractNumId w:val="3"/>
  </w:num>
  <w:num w:numId="10">
    <w:abstractNumId w:val="5"/>
  </w:num>
  <w:num w:numId="11">
    <w:abstractNumId w:val="6"/>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FC8"/>
    <w:rsid w:val="00166111"/>
    <w:rsid w:val="00175F77"/>
    <w:rsid w:val="001B6E80"/>
    <w:rsid w:val="003B2B4B"/>
    <w:rsid w:val="003C3B62"/>
    <w:rsid w:val="005A6FC8"/>
    <w:rsid w:val="005C3891"/>
    <w:rsid w:val="00743A6E"/>
    <w:rsid w:val="007D0B48"/>
    <w:rsid w:val="00A45FBD"/>
    <w:rsid w:val="00AB3618"/>
    <w:rsid w:val="00AD2B60"/>
    <w:rsid w:val="00AF5FD3"/>
    <w:rsid w:val="00C30F62"/>
    <w:rsid w:val="00C3458B"/>
    <w:rsid w:val="00C42CEF"/>
    <w:rsid w:val="00C5062E"/>
    <w:rsid w:val="00CD324F"/>
    <w:rsid w:val="00E3431A"/>
    <w:rsid w:val="00E75A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8F68A"/>
  <w15:chartTrackingRefBased/>
  <w15:docId w15:val="{7447A914-6AC2-41FA-8871-66D92821E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5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TOCMark">
    <w:name w:val="Header TOC Mark"/>
    <w:basedOn w:val="Normal"/>
    <w:qFormat/>
    <w:rsid w:val="00E75AB5"/>
    <w:pPr>
      <w:autoSpaceDE w:val="0"/>
      <w:autoSpaceDN w:val="0"/>
      <w:adjustRightInd w:val="0"/>
      <w:spacing w:after="0" w:line="240" w:lineRule="auto"/>
    </w:pPr>
    <w:rPr>
      <w:rFonts w:ascii="Calibri" w:eastAsia="Times New Roman" w:hAnsi="Calibri" w:cs="Times New Roman"/>
      <w:sz w:val="24"/>
      <w:szCs w:val="24"/>
      <w:lang w:val="en-US" w:eastAsia="en-AU"/>
    </w:rPr>
  </w:style>
  <w:style w:type="paragraph" w:styleId="Header">
    <w:name w:val="header"/>
    <w:basedOn w:val="Normal"/>
    <w:link w:val="HeaderChar"/>
    <w:uiPriority w:val="99"/>
    <w:unhideWhenUsed/>
    <w:rsid w:val="005A6F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6FC8"/>
  </w:style>
  <w:style w:type="paragraph" w:styleId="Footer">
    <w:name w:val="footer"/>
    <w:basedOn w:val="Normal"/>
    <w:link w:val="FooterChar"/>
    <w:uiPriority w:val="99"/>
    <w:unhideWhenUsed/>
    <w:rsid w:val="005A6F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6FC8"/>
  </w:style>
  <w:style w:type="table" w:styleId="TableGrid">
    <w:name w:val="Table Grid"/>
    <w:basedOn w:val="TableNormal"/>
    <w:uiPriority w:val="59"/>
    <w:rsid w:val="005A6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2B4B"/>
    <w:pPr>
      <w:ind w:left="720"/>
      <w:contextualSpacing/>
    </w:pPr>
  </w:style>
  <w:style w:type="character" w:styleId="Hyperlink">
    <w:name w:val="Hyperlink"/>
    <w:basedOn w:val="DefaultParagraphFont"/>
    <w:uiPriority w:val="99"/>
    <w:unhideWhenUsed/>
    <w:rsid w:val="00743A6E"/>
    <w:rPr>
      <w:color w:val="0563C1" w:themeColor="hyperlink"/>
      <w:u w:val="single"/>
    </w:rPr>
  </w:style>
  <w:style w:type="character" w:styleId="UnresolvedMention">
    <w:name w:val="Unresolved Mention"/>
    <w:basedOn w:val="DefaultParagraphFont"/>
    <w:uiPriority w:val="99"/>
    <w:semiHidden/>
    <w:unhideWhenUsed/>
    <w:rsid w:val="00743A6E"/>
    <w:rPr>
      <w:color w:val="605E5C"/>
      <w:shd w:val="clear" w:color="auto" w:fill="E1DFDD"/>
    </w:rPr>
  </w:style>
  <w:style w:type="character" w:styleId="FollowedHyperlink">
    <w:name w:val="FollowedHyperlink"/>
    <w:basedOn w:val="DefaultParagraphFont"/>
    <w:uiPriority w:val="99"/>
    <w:semiHidden/>
    <w:unhideWhenUsed/>
    <w:rsid w:val="00175F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sbt.qld.gov.au/__data/assets/pdf_file/0025/7774/srto-evidence-guide.pdf" TargetMode="External"/><Relationship Id="rId3" Type="http://schemas.openxmlformats.org/officeDocument/2006/relationships/settings" Target="settings.xml"/><Relationship Id="rId7" Type="http://schemas.openxmlformats.org/officeDocument/2006/relationships/hyperlink" Target="https://desbt.qld.gov.au/__data/assets/pdf_file/0021/7824/user-choice-policy.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imagineeducation.com.au/" TargetMode="External"/><Relationship Id="rId2" Type="http://schemas.openxmlformats.org/officeDocument/2006/relationships/hyperlink" Target="mailto:info@imagineeducation.com.au" TargetMode="External"/><Relationship Id="rId1" Type="http://schemas.openxmlformats.org/officeDocument/2006/relationships/hyperlink" Target="http://www.imagineeducation.com.au/" TargetMode="External"/><Relationship Id="rId4" Type="http://schemas.openxmlformats.org/officeDocument/2006/relationships/hyperlink" Target="mailto:info@imagineeducation.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1398</Words>
  <Characters>7971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Indianna Amor</dc:creator>
  <cp:keywords/>
  <dc:description/>
  <cp:lastModifiedBy>Indianna Amor</cp:lastModifiedBy>
  <cp:revision>15</cp:revision>
  <dcterms:created xsi:type="dcterms:W3CDTF">2025-07-06T23:56:00Z</dcterms:created>
  <dcterms:modified xsi:type="dcterms:W3CDTF">2025-10-02T03:10:00Z</dcterms:modified>
</cp:coreProperties>
</file>