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FE" w:rsidRDefault="008C2B90" w:rsidP="00B71FFE">
      <w:pPr>
        <w:tabs>
          <w:tab w:val="left" w:pos="3138"/>
        </w:tabs>
      </w:pPr>
      <w:r>
        <w:rPr>
          <w:noProof/>
        </w:rPr>
        <w:pict>
          <v:shapetype id="_x0000_t202" coordsize="21600,21600" o:spt="202" path="m,l,21600r21600,l21600,xe">
            <v:stroke joinstyle="miter"/>
            <v:path gradientshapeok="t" o:connecttype="rect"/>
          </v:shapetype>
          <v:shape id="Text Box 2" o:spid="_x0000_s1026" type="#_x0000_t202" style="position:absolute;margin-left:-1in;margin-top:-26.15pt;width:597.15pt;height:7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" fillcolor="#002060" stroked="f">
            <v:textbox inset="5.5mm,2.3mm,5.5mm,4.3mm">
              <w:txbxContent>
                <w:p w:rsidR="004C67F0" w:rsidRPr="00540873" w:rsidRDefault="004C67F0" w:rsidP="00B71FFE">
                  <w:pPr>
                    <w:rPr>
                      <w:rFonts w:ascii="Tahoma" w:hAnsi="Tahoma" w:cs="Tahoma"/>
                      <w:b/>
                      <w:smallCaps/>
                      <w:sz w:val="44"/>
                      <w:szCs w:val="44"/>
                      <w:lang w:val="en-US"/>
                    </w:rPr>
                  </w:pPr>
                  <w:r w:rsidRPr="007C4703">
                    <w:rPr>
                      <w:rFonts w:ascii="Tahoma" w:hAnsi="Tahoma" w:cs="Tahoma"/>
                      <w:b/>
                      <w:smallCaps/>
                      <w:noProof/>
                      <w:sz w:val="40"/>
                      <w:szCs w:val="40"/>
                    </w:rPr>
                    <w:drawing>
                      <wp:inline distT="0" distB="0" distL="0" distR="0">
                        <wp:extent cx="1209249" cy="696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 logo clear background.png"/>
                                <pic:cNvPicPr/>
                              </pic:nvPicPr>
                              <pic:blipFill>
                                <a:blip r:embed="rId11" cstate="print"/>
                                <a:stretch>
                                  <a:fillRect/>
                                </a:stretch>
                              </pic:blipFill>
                              <pic:spPr>
                                <a:xfrm>
                                  <a:off x="0" y="0"/>
                                  <a:ext cx="1209040" cy="695960"/>
                                </a:xfrm>
                                <a:prstGeom prst="rect">
                                  <a:avLst/>
                                </a:prstGeom>
                              </pic:spPr>
                            </pic:pic>
                          </a:graphicData>
                        </a:graphic>
                      </wp:inline>
                    </w:drawing>
                  </w:r>
                  <w:r w:rsidRPr="00544EDD">
                    <w:rPr>
                      <w:sz w:val="24"/>
                      <w:szCs w:val="24"/>
                    </w:rPr>
                    <w:t xml:space="preserve"> </w:t>
                  </w:r>
                  <w:r>
                    <w:rPr>
                      <w:sz w:val="24"/>
                      <w:szCs w:val="24"/>
                    </w:rPr>
                    <w:t xml:space="preserve">                             </w:t>
                  </w:r>
                  <w:r w:rsidRPr="007138B3">
                    <w:rPr>
                      <w:sz w:val="24"/>
                      <w:szCs w:val="24"/>
                    </w:rPr>
                    <w:t>Course Progress Policy and Procedures for CRICOS Providers</w:t>
                  </w:r>
                </w:p>
              </w:txbxContent>
            </v:textbox>
          </v:shape>
        </w:pict>
      </w:r>
    </w:p>
    <w:p w:rsidR="00BA7431" w:rsidRDefault="00BA7431" w:rsidP="00BA7431">
      <w:pPr>
        <w:rPr>
          <w:rFonts w:ascii="Comic Sans MS" w:hAnsi="Comic Sans MS"/>
          <w:b/>
          <w:sz w:val="24"/>
          <w:szCs w:val="24"/>
        </w:rPr>
      </w:pPr>
    </w:p>
    <w:tbl>
      <w:tblPr>
        <w:tblStyle w:val="TableGrid"/>
        <w:tblW w:w="0" w:type="auto"/>
        <w:tblLayout w:type="fixed"/>
        <w:tblLook w:val="04A0"/>
      </w:tblPr>
      <w:tblGrid>
        <w:gridCol w:w="1668"/>
        <w:gridCol w:w="8448"/>
      </w:tblGrid>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Regulation and Standards</w:t>
            </w:r>
          </w:p>
        </w:tc>
        <w:tc>
          <w:tcPr>
            <w:tcW w:w="8448" w:type="dxa"/>
          </w:tcPr>
          <w:p w:rsidR="00BE26E9" w:rsidRPr="00292742" w:rsidRDefault="00544EDD" w:rsidP="007B4728">
            <w:pPr>
              <w:rPr>
                <w:rFonts w:ascii="Comic Sans MS" w:hAnsi="Comic Sans MS"/>
                <w:sz w:val="18"/>
                <w:szCs w:val="18"/>
              </w:rPr>
            </w:pPr>
            <w:r>
              <w:rPr>
                <w:rFonts w:ascii="Comic Sans MS" w:hAnsi="Comic Sans MS"/>
                <w:sz w:val="18"/>
                <w:szCs w:val="18"/>
              </w:rPr>
              <w:t>Standard 10</w:t>
            </w:r>
          </w:p>
        </w:tc>
      </w:tr>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Policy</w:t>
            </w:r>
          </w:p>
        </w:tc>
        <w:tc>
          <w:tcPr>
            <w:tcW w:w="8448" w:type="dxa"/>
          </w:tcPr>
          <w:p w:rsidR="00544EDD" w:rsidRPr="00C0597D" w:rsidRDefault="00544EDD" w:rsidP="00544EDD">
            <w:r w:rsidRPr="00C0597D">
              <w:t xml:space="preserve">During the induction and orientation, students are informed of the student visa condition relating to course progress. They are also informed that Imagine Education uses the </w:t>
            </w:r>
            <w:r w:rsidR="005464A5" w:rsidRPr="00C0597D">
              <w:t>DIBP</w:t>
            </w:r>
            <w:r w:rsidRPr="00C0597D">
              <w:t xml:space="preserve"> Course Progress Policy and Procedures for CRICOS Providers of VET Courses.</w:t>
            </w:r>
            <w:r w:rsidR="00C4524A" w:rsidRPr="00C0597D">
              <w:t xml:space="preserve"> Students are also advised </w:t>
            </w:r>
            <w:r w:rsidR="00910F0E">
              <w:t>that whilst we do not monitor</w:t>
            </w:r>
            <w:r w:rsidR="00C4524A" w:rsidRPr="00C0597D">
              <w:t xml:space="preserve"> attendance, Imagine Education still record attendance for VET students and attendance is encouraged for all classes.</w:t>
            </w:r>
            <w:r w:rsidRPr="00C0597D">
              <w:t xml:space="preserve"> </w:t>
            </w:r>
            <w:r w:rsidR="00C4524A" w:rsidRPr="00C0597D">
              <w:t xml:space="preserve">Students are also advised that </w:t>
            </w:r>
            <w:r w:rsidR="005464A5" w:rsidRPr="00C0597D">
              <w:t>D</w:t>
            </w:r>
            <w:r w:rsidR="00C0597D" w:rsidRPr="00C0597D">
              <w:t>IBP</w:t>
            </w:r>
            <w:r w:rsidR="00C4524A" w:rsidRPr="00C0597D">
              <w:t xml:space="preserve"> may request attendance details at anytime for a student.</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1.1 Im</w:t>
            </w:r>
            <w:r w:rsidR="00910F0E">
              <w:rPr>
                <w:rFonts w:asciiTheme="minorHAnsi" w:hAnsiTheme="minorHAnsi"/>
                <w:sz w:val="22"/>
                <w:szCs w:val="22"/>
              </w:rPr>
              <w:t xml:space="preserve">agine Education Australia will </w:t>
            </w:r>
            <w:r w:rsidRPr="00C0597D">
              <w:rPr>
                <w:rFonts w:asciiTheme="minorHAnsi" w:hAnsiTheme="minorHAnsi"/>
                <w:sz w:val="22"/>
                <w:szCs w:val="22"/>
              </w:rPr>
              <w:t xml:space="preserve">monitor, record and assess the course progress of each student for the course in which the student is currently enrolled.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1.2 Imagine Education Australia must assess each student’s progress at the end of each compulsory study period. Imagine Education Australia defines a study period as being 10 weeks.</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1.3 Unsatisfactory progress is defined as not successfully completing or demonstrating competency in at least 50% of the course requirements in that study period. </w:t>
            </w: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Imagine Education Australia will define course requirements for each study period and will identify when a student has not demonstrated competency in 50% or more of the course requirements. </w:t>
            </w: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The course requirements for each study period will also be made clear to the student at the start of the course during orientation.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1.4 Imagine Education Australia has an intervention strategy for any student who is not making satisfactory course progress. It is made available to staff and students and specifies:</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33"/>
              </w:numPr>
              <w:rPr>
                <w:rFonts w:asciiTheme="minorHAnsi" w:hAnsiTheme="minorHAnsi"/>
                <w:sz w:val="22"/>
                <w:szCs w:val="22"/>
              </w:rPr>
            </w:pPr>
            <w:r w:rsidRPr="00C0597D">
              <w:rPr>
                <w:rFonts w:asciiTheme="minorHAnsi" w:hAnsiTheme="minorHAnsi"/>
                <w:sz w:val="22"/>
                <w:szCs w:val="22"/>
              </w:rPr>
              <w:t xml:space="preserve">procedures for contacting and counselling students; </w:t>
            </w:r>
          </w:p>
          <w:p w:rsidR="005464A5" w:rsidRPr="00C0597D" w:rsidRDefault="005464A5" w:rsidP="005464A5">
            <w:pPr>
              <w:pStyle w:val="Default"/>
              <w:numPr>
                <w:ilvl w:val="0"/>
                <w:numId w:val="33"/>
              </w:numPr>
              <w:rPr>
                <w:rFonts w:asciiTheme="minorHAnsi" w:hAnsiTheme="minorHAnsi"/>
                <w:sz w:val="22"/>
                <w:szCs w:val="22"/>
              </w:rPr>
            </w:pPr>
            <w:r w:rsidRPr="00C0597D">
              <w:rPr>
                <w:rFonts w:asciiTheme="minorHAnsi" w:hAnsiTheme="minorHAnsi"/>
                <w:sz w:val="22"/>
                <w:szCs w:val="22"/>
              </w:rPr>
              <w:t xml:space="preserve">strategies to assist identified students to achieve satisfactory course progress; and </w:t>
            </w:r>
          </w:p>
          <w:p w:rsidR="005464A5" w:rsidRPr="00C0597D" w:rsidRDefault="005464A5" w:rsidP="005464A5">
            <w:pPr>
              <w:pStyle w:val="Default"/>
              <w:numPr>
                <w:ilvl w:val="0"/>
                <w:numId w:val="33"/>
              </w:numPr>
              <w:rPr>
                <w:rFonts w:asciiTheme="minorHAnsi" w:hAnsiTheme="minorHAnsi"/>
                <w:sz w:val="22"/>
                <w:szCs w:val="22"/>
              </w:rPr>
            </w:pPr>
            <w:r w:rsidRPr="00C0597D">
              <w:rPr>
                <w:rFonts w:asciiTheme="minorHAnsi" w:hAnsiTheme="minorHAnsi"/>
                <w:sz w:val="22"/>
                <w:szCs w:val="22"/>
              </w:rPr>
              <w:t xml:space="preserve">the process by which the intervention strategy is activated. </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1.5</w:t>
            </w:r>
            <w:r w:rsidR="005464A5" w:rsidRPr="00C0597D">
              <w:rPr>
                <w:rFonts w:asciiTheme="minorHAnsi" w:hAnsiTheme="minorHAnsi"/>
                <w:sz w:val="22"/>
                <w:szCs w:val="22"/>
              </w:rPr>
              <w:t xml:space="preserve"> The intervention strategy includes provisions for: </w:t>
            </w: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i. where appropriate, advising students on the suitability of the course in which they are enrolled; </w:t>
            </w:r>
          </w:p>
          <w:p w:rsidR="005464A5" w:rsidRPr="00C0597D" w:rsidRDefault="005464A5" w:rsidP="005464A5">
            <w:pPr>
              <w:pStyle w:val="Default"/>
              <w:pageBreakBefore/>
              <w:rPr>
                <w:rFonts w:asciiTheme="minorHAnsi" w:hAnsiTheme="minorHAnsi"/>
                <w:sz w:val="22"/>
                <w:szCs w:val="22"/>
              </w:rPr>
            </w:pPr>
            <w:r w:rsidRPr="00C0597D">
              <w:rPr>
                <w:rFonts w:asciiTheme="minorHAnsi" w:hAnsiTheme="minorHAnsi"/>
                <w:sz w:val="22"/>
                <w:szCs w:val="22"/>
              </w:rPr>
              <w:t xml:space="preserve">ii. assisting students by advising of opportunities for the students to be reassessed for tasks in units to demonstrate the necessary competency in areas in which they had not been previously able to demonstrate competency; and </w:t>
            </w:r>
          </w:p>
          <w:p w:rsidR="005464A5" w:rsidRDefault="005464A5" w:rsidP="005464A5">
            <w:pPr>
              <w:pStyle w:val="Default"/>
              <w:rPr>
                <w:rFonts w:asciiTheme="minorHAnsi" w:hAnsiTheme="minorHAnsi"/>
                <w:sz w:val="22"/>
                <w:szCs w:val="22"/>
              </w:rPr>
            </w:pPr>
            <w:r w:rsidRPr="00C0597D">
              <w:rPr>
                <w:rFonts w:asciiTheme="minorHAnsi" w:hAnsiTheme="minorHAnsi"/>
                <w:sz w:val="22"/>
                <w:szCs w:val="22"/>
              </w:rPr>
              <w:t>iii. advising students that unsatisfactory course progress in two consecutive study periods for a course could lead to the student being reported to D</w:t>
            </w:r>
            <w:r w:rsidR="00581FF1">
              <w:rPr>
                <w:rFonts w:asciiTheme="minorHAnsi" w:hAnsiTheme="minorHAnsi"/>
                <w:sz w:val="22"/>
                <w:szCs w:val="22"/>
              </w:rPr>
              <w:t>IBP</w:t>
            </w:r>
            <w:r w:rsidRPr="00C0597D">
              <w:rPr>
                <w:rFonts w:asciiTheme="minorHAnsi" w:hAnsiTheme="minorHAnsi"/>
                <w:sz w:val="22"/>
                <w:szCs w:val="22"/>
              </w:rPr>
              <w:t>.</w:t>
            </w:r>
          </w:p>
          <w:p w:rsidR="004C67F0" w:rsidRPr="00C0597D" w:rsidRDefault="004C67F0" w:rsidP="004C67F0">
            <w:pPr>
              <w:pStyle w:val="Default"/>
              <w:numPr>
                <w:ilvl w:val="0"/>
                <w:numId w:val="33"/>
              </w:numPr>
              <w:rPr>
                <w:rFonts w:asciiTheme="minorHAnsi" w:hAnsiTheme="minorHAnsi"/>
                <w:sz w:val="22"/>
                <w:szCs w:val="22"/>
              </w:rPr>
            </w:pPr>
            <w:r>
              <w:rPr>
                <w:rFonts w:asciiTheme="minorHAnsi" w:hAnsiTheme="minorHAnsi"/>
                <w:sz w:val="22"/>
                <w:szCs w:val="22"/>
              </w:rPr>
              <w:t>General Manager may telephone and/or email the student to alert them to the seriousness of their situation and asking them to attend an interview with GM to discuss how Imagine can assist with their studies</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1.6</w:t>
            </w:r>
            <w:r w:rsidR="005464A5" w:rsidRPr="00C0597D">
              <w:rPr>
                <w:rFonts w:asciiTheme="minorHAnsi" w:hAnsiTheme="minorHAnsi"/>
                <w:sz w:val="22"/>
                <w:szCs w:val="22"/>
              </w:rPr>
              <w:t xml:space="preserve"> At the end of each compulsory study period, students are assessed against the course progress policy. If a student is identified for the first time as not making satisfactory course progress, the interventi</w:t>
            </w:r>
            <w:r w:rsidR="00581FF1">
              <w:rPr>
                <w:rFonts w:asciiTheme="minorHAnsi" w:hAnsiTheme="minorHAnsi"/>
                <w:sz w:val="22"/>
                <w:szCs w:val="22"/>
              </w:rPr>
              <w:t xml:space="preserve">on strategy as outlined in 1.4 </w:t>
            </w:r>
            <w:r w:rsidR="005464A5" w:rsidRPr="00C0597D">
              <w:rPr>
                <w:rFonts w:asciiTheme="minorHAnsi" w:hAnsiTheme="minorHAnsi"/>
                <w:sz w:val="22"/>
                <w:szCs w:val="22"/>
              </w:rPr>
              <w:t xml:space="preserve">is implemented. The intervention strategy must be activated within the first four weeks of the following study period.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rPr>
                <w:rFonts w:asciiTheme="minorHAnsi" w:hAnsiTheme="minorHAnsi"/>
                <w:sz w:val="22"/>
                <w:szCs w:val="22"/>
              </w:rPr>
            </w:pPr>
            <w:r w:rsidRPr="00C0597D">
              <w:rPr>
                <w:rFonts w:asciiTheme="minorHAnsi" w:hAnsiTheme="minorHAnsi"/>
                <w:sz w:val="22"/>
                <w:szCs w:val="22"/>
              </w:rPr>
              <w:t xml:space="preserve">However, if a provider identifies that a student is at risk of making unsatisfactory course progress before the end of the study period, the provider is encouraged to implement its intervention strategy as early as practicable. </w:t>
            </w:r>
          </w:p>
          <w:p w:rsidR="005464A5" w:rsidRDefault="005464A5" w:rsidP="005464A5">
            <w:pPr>
              <w:pStyle w:val="Default"/>
              <w:rPr>
                <w:rFonts w:asciiTheme="minorHAnsi" w:hAnsiTheme="minorHAnsi"/>
                <w:sz w:val="22"/>
                <w:szCs w:val="22"/>
              </w:rPr>
            </w:pPr>
          </w:p>
          <w:p w:rsidR="00783EA4" w:rsidRDefault="00783EA4" w:rsidP="005464A5">
            <w:pPr>
              <w:pStyle w:val="Default"/>
              <w:rPr>
                <w:rFonts w:asciiTheme="minorHAnsi" w:hAnsiTheme="minorHAnsi"/>
                <w:sz w:val="22"/>
                <w:szCs w:val="22"/>
              </w:rPr>
            </w:pPr>
          </w:p>
          <w:p w:rsidR="00783EA4" w:rsidRPr="00C0597D" w:rsidRDefault="00783EA4"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w:t>
            </w:r>
            <w:r w:rsidR="005464A5" w:rsidRPr="00C0597D">
              <w:rPr>
                <w:rFonts w:asciiTheme="minorHAnsi" w:hAnsiTheme="minorHAnsi"/>
                <w:sz w:val="22"/>
                <w:szCs w:val="22"/>
              </w:rPr>
              <w:t xml:space="preserve">.7 If a student is identified as not making satisfactory course progress in a </w:t>
            </w:r>
            <w:r w:rsidR="005464A5" w:rsidRPr="00C0597D">
              <w:rPr>
                <w:rFonts w:asciiTheme="minorHAnsi" w:hAnsiTheme="minorHAnsi"/>
                <w:b/>
                <w:bCs/>
                <w:sz w:val="22"/>
                <w:szCs w:val="22"/>
              </w:rPr>
              <w:t xml:space="preserve">second consecutive compulsory </w:t>
            </w:r>
            <w:r w:rsidR="005464A5" w:rsidRPr="00C0597D">
              <w:rPr>
                <w:rFonts w:asciiTheme="minorHAnsi" w:hAnsiTheme="minorHAnsi"/>
                <w:sz w:val="22"/>
                <w:szCs w:val="22"/>
              </w:rPr>
              <w:t>study period in a course</w:t>
            </w:r>
            <w:r w:rsidR="00581FF1">
              <w:rPr>
                <w:rFonts w:asciiTheme="minorHAnsi" w:hAnsiTheme="minorHAnsi"/>
                <w:sz w:val="22"/>
                <w:szCs w:val="22"/>
              </w:rPr>
              <w:t xml:space="preserve"> </w:t>
            </w:r>
            <w:r w:rsidRPr="00C0597D">
              <w:rPr>
                <w:rFonts w:asciiTheme="minorHAnsi" w:hAnsiTheme="minorHAnsi"/>
                <w:sz w:val="22"/>
                <w:szCs w:val="22"/>
              </w:rPr>
              <w:t>Imagine Education Australia will</w:t>
            </w:r>
            <w:r w:rsidR="005464A5" w:rsidRPr="00C0597D">
              <w:rPr>
                <w:rFonts w:asciiTheme="minorHAnsi" w:hAnsiTheme="minorHAnsi"/>
                <w:sz w:val="22"/>
                <w:szCs w:val="22"/>
              </w:rPr>
              <w:t xml:space="preserve"> notify the student of its intention to report the student to </w:t>
            </w:r>
            <w:r w:rsidRPr="00C0597D">
              <w:rPr>
                <w:rFonts w:asciiTheme="minorHAnsi" w:hAnsiTheme="minorHAnsi"/>
                <w:sz w:val="22"/>
                <w:szCs w:val="22"/>
              </w:rPr>
              <w:t>DIBP</w:t>
            </w:r>
            <w:r w:rsidR="005464A5" w:rsidRPr="00C0597D">
              <w:rPr>
                <w:rFonts w:asciiTheme="minorHAnsi" w:hAnsiTheme="minorHAnsi"/>
                <w:sz w:val="22"/>
                <w:szCs w:val="22"/>
              </w:rPr>
              <w:t xml:space="preserve"> for unsatisfactory progress. The provider does this through the written notice described in </w:t>
            </w:r>
            <w:r w:rsidRPr="00C0597D">
              <w:rPr>
                <w:rFonts w:asciiTheme="minorHAnsi" w:hAnsiTheme="minorHAnsi"/>
                <w:sz w:val="22"/>
                <w:szCs w:val="22"/>
              </w:rPr>
              <w:t>1.8</w:t>
            </w:r>
            <w:r w:rsidR="005464A5" w:rsidRPr="00C0597D">
              <w:rPr>
                <w:rFonts w:asciiTheme="minorHAnsi" w:hAnsiTheme="minorHAnsi"/>
                <w:sz w:val="22"/>
                <w:szCs w:val="22"/>
              </w:rPr>
              <w:t xml:space="preserve">. </w:t>
            </w:r>
            <w:r w:rsidR="004C67F0">
              <w:rPr>
                <w:rFonts w:asciiTheme="minorHAnsi" w:hAnsiTheme="minorHAnsi"/>
                <w:sz w:val="22"/>
                <w:szCs w:val="22"/>
              </w:rPr>
              <w:t>The General Manager may also telephone or email the student advising that their course may be cancelled and asking them to attend an interview with GM to see how Imagine can assist with their studies.</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1.8</w:t>
            </w:r>
            <w:r w:rsidR="005464A5" w:rsidRPr="00C0597D">
              <w:rPr>
                <w:rFonts w:asciiTheme="minorHAnsi" w:hAnsiTheme="minorHAnsi"/>
                <w:sz w:val="22"/>
                <w:szCs w:val="22"/>
              </w:rPr>
              <w:t xml:space="preserve"> The written notice (of intention to report the student for unsatisfactory progress) inform</w:t>
            </w:r>
            <w:r w:rsidRPr="00C0597D">
              <w:rPr>
                <w:rFonts w:asciiTheme="minorHAnsi" w:hAnsiTheme="minorHAnsi"/>
                <w:sz w:val="22"/>
                <w:szCs w:val="22"/>
              </w:rPr>
              <w:t>s</w:t>
            </w:r>
            <w:r w:rsidR="005464A5" w:rsidRPr="00C0597D">
              <w:rPr>
                <w:rFonts w:asciiTheme="minorHAnsi" w:hAnsiTheme="minorHAnsi"/>
                <w:sz w:val="22"/>
                <w:szCs w:val="22"/>
              </w:rPr>
              <w:t xml:space="preserve"> the student that he or she is able to access the registered provider’s complaints and appeals process under Standard 8 and that the student has 20 working days in which to do so. A student may appeal on the following grounds: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26"/>
              </w:numPr>
              <w:rPr>
                <w:rFonts w:asciiTheme="minorHAnsi" w:hAnsiTheme="minorHAnsi"/>
                <w:sz w:val="22"/>
                <w:szCs w:val="22"/>
              </w:rPr>
            </w:pPr>
            <w:r w:rsidRPr="00C0597D">
              <w:rPr>
                <w:rFonts w:asciiTheme="minorHAnsi" w:hAnsiTheme="minorHAnsi"/>
                <w:sz w:val="22"/>
                <w:szCs w:val="22"/>
              </w:rPr>
              <w:t>provider’s failure to record or calculate a student’s marks accurately,</w:t>
            </w:r>
          </w:p>
          <w:p w:rsidR="005464A5" w:rsidRPr="00C0597D" w:rsidRDefault="005464A5" w:rsidP="005464A5">
            <w:pPr>
              <w:pStyle w:val="Default"/>
              <w:numPr>
                <w:ilvl w:val="0"/>
                <w:numId w:val="26"/>
              </w:numPr>
              <w:rPr>
                <w:rFonts w:asciiTheme="minorHAnsi" w:hAnsiTheme="minorHAnsi"/>
                <w:sz w:val="22"/>
                <w:szCs w:val="22"/>
              </w:rPr>
            </w:pPr>
            <w:r w:rsidRPr="00C0597D">
              <w:rPr>
                <w:rFonts w:asciiTheme="minorHAnsi" w:hAnsiTheme="minorHAnsi"/>
                <w:sz w:val="22"/>
                <w:szCs w:val="22"/>
              </w:rPr>
              <w:t>compassionate or compelling circumstances, or</w:t>
            </w:r>
          </w:p>
          <w:p w:rsidR="005464A5" w:rsidRPr="00C0597D" w:rsidRDefault="005464A5" w:rsidP="005464A5">
            <w:pPr>
              <w:pStyle w:val="Default"/>
              <w:numPr>
                <w:ilvl w:val="0"/>
                <w:numId w:val="26"/>
              </w:numPr>
              <w:rPr>
                <w:rFonts w:asciiTheme="minorHAnsi" w:hAnsiTheme="minorHAnsi"/>
                <w:sz w:val="22"/>
                <w:szCs w:val="22"/>
              </w:rPr>
            </w:pPr>
            <w:r w:rsidRPr="00C0597D">
              <w:rPr>
                <w:rFonts w:asciiTheme="minorHAnsi" w:hAnsiTheme="minorHAnsi"/>
                <w:sz w:val="22"/>
                <w:szCs w:val="22"/>
              </w:rPr>
              <w:t>provider has not implemented its intervention strategy and other policies according to its documented policies and procedures that have been made available to the student.</w:t>
            </w:r>
          </w:p>
          <w:p w:rsidR="005464A5" w:rsidRPr="00C0597D" w:rsidRDefault="005464A5" w:rsidP="005464A5">
            <w:pPr>
              <w:pStyle w:val="Default"/>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1.9</w:t>
            </w:r>
            <w:r w:rsidR="005464A5" w:rsidRPr="00C0597D">
              <w:rPr>
                <w:rFonts w:asciiTheme="minorHAnsi" w:hAnsiTheme="minorHAnsi"/>
                <w:sz w:val="22"/>
                <w:szCs w:val="22"/>
              </w:rPr>
              <w:t xml:space="preserve"> Where the student’s appeal is successful, the outcomes may vary according to the findings of the appeals process.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27"/>
              </w:numPr>
              <w:rPr>
                <w:rFonts w:asciiTheme="minorHAnsi" w:hAnsiTheme="minorHAnsi"/>
                <w:sz w:val="22"/>
                <w:szCs w:val="22"/>
              </w:rPr>
            </w:pPr>
            <w:r w:rsidRPr="00C0597D">
              <w:rPr>
                <w:rFonts w:asciiTheme="minorHAnsi" w:hAnsiTheme="minorHAnsi"/>
                <w:sz w:val="22"/>
                <w:szCs w:val="22"/>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5464A5" w:rsidRPr="00C0597D" w:rsidRDefault="005464A5" w:rsidP="005464A5">
            <w:pPr>
              <w:pStyle w:val="Default"/>
              <w:numPr>
                <w:ilvl w:val="0"/>
                <w:numId w:val="27"/>
              </w:numPr>
              <w:rPr>
                <w:rFonts w:asciiTheme="minorHAnsi" w:hAnsiTheme="minorHAnsi"/>
                <w:sz w:val="22"/>
                <w:szCs w:val="22"/>
              </w:rPr>
            </w:pPr>
            <w:r w:rsidRPr="00C0597D">
              <w:rPr>
                <w:rFonts w:asciiTheme="minorHAnsi" w:hAnsiTheme="minorHAnsi"/>
                <w:sz w:val="22"/>
                <w:szCs w:val="22"/>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D07B64" w:rsidRPr="00C0597D" w:rsidRDefault="00D07B64" w:rsidP="00D07B64">
            <w:pPr>
              <w:pStyle w:val="Default"/>
              <w:ind w:left="720"/>
              <w:rPr>
                <w:rFonts w:asciiTheme="minorHAnsi" w:hAnsiTheme="minorHAnsi"/>
                <w:sz w:val="22"/>
                <w:szCs w:val="22"/>
              </w:rPr>
            </w:pPr>
          </w:p>
          <w:p w:rsidR="005464A5" w:rsidRPr="00C0597D" w:rsidRDefault="00D07B64" w:rsidP="005464A5">
            <w:pPr>
              <w:pStyle w:val="Default"/>
              <w:rPr>
                <w:rFonts w:asciiTheme="minorHAnsi" w:hAnsiTheme="minorHAnsi"/>
                <w:sz w:val="22"/>
                <w:szCs w:val="22"/>
              </w:rPr>
            </w:pPr>
            <w:r w:rsidRPr="00C0597D">
              <w:rPr>
                <w:rFonts w:asciiTheme="minorHAnsi" w:hAnsiTheme="minorHAnsi"/>
                <w:sz w:val="22"/>
                <w:szCs w:val="22"/>
              </w:rPr>
              <w:t>1</w:t>
            </w:r>
            <w:r w:rsidR="005464A5" w:rsidRPr="00C0597D">
              <w:rPr>
                <w:rFonts w:asciiTheme="minorHAnsi" w:hAnsiTheme="minorHAnsi"/>
                <w:sz w:val="22"/>
                <w:szCs w:val="22"/>
              </w:rPr>
              <w:t xml:space="preserve">.10 Where: </w:t>
            </w:r>
          </w:p>
          <w:p w:rsidR="005464A5" w:rsidRPr="00C0597D" w:rsidRDefault="005464A5" w:rsidP="005464A5">
            <w:pPr>
              <w:pStyle w:val="Default"/>
              <w:rPr>
                <w:rFonts w:asciiTheme="minorHAnsi" w:hAnsiTheme="minorHAnsi"/>
                <w:sz w:val="22"/>
                <w:szCs w:val="22"/>
              </w:rPr>
            </w:pPr>
          </w:p>
          <w:p w:rsidR="005464A5" w:rsidRPr="00C0597D" w:rsidRDefault="005464A5" w:rsidP="005464A5">
            <w:pPr>
              <w:pStyle w:val="Default"/>
              <w:numPr>
                <w:ilvl w:val="0"/>
                <w:numId w:val="28"/>
              </w:numPr>
              <w:rPr>
                <w:rFonts w:asciiTheme="minorHAnsi" w:hAnsiTheme="minorHAnsi"/>
                <w:sz w:val="22"/>
                <w:szCs w:val="22"/>
              </w:rPr>
            </w:pPr>
            <w:r w:rsidRPr="00C0597D">
              <w:rPr>
                <w:rFonts w:asciiTheme="minorHAnsi" w:hAnsiTheme="minorHAnsi"/>
                <w:sz w:val="22"/>
                <w:szCs w:val="22"/>
              </w:rPr>
              <w:t xml:space="preserve">the student has chosen not to access the complaints and appeals processes within the 20 working day period, </w:t>
            </w:r>
          </w:p>
          <w:p w:rsidR="005464A5" w:rsidRPr="00C0597D" w:rsidRDefault="005464A5" w:rsidP="005464A5">
            <w:pPr>
              <w:pStyle w:val="Default"/>
              <w:numPr>
                <w:ilvl w:val="0"/>
                <w:numId w:val="28"/>
              </w:numPr>
              <w:rPr>
                <w:rFonts w:asciiTheme="minorHAnsi" w:hAnsiTheme="minorHAnsi"/>
                <w:sz w:val="22"/>
                <w:szCs w:val="22"/>
              </w:rPr>
            </w:pPr>
            <w:r w:rsidRPr="00C0597D">
              <w:rPr>
                <w:rFonts w:asciiTheme="minorHAnsi" w:hAnsiTheme="minorHAnsi"/>
                <w:sz w:val="22"/>
                <w:szCs w:val="22"/>
              </w:rPr>
              <w:t xml:space="preserve">the student withdraws from the process, or </w:t>
            </w:r>
          </w:p>
          <w:p w:rsidR="005464A5" w:rsidRDefault="005464A5" w:rsidP="005464A5">
            <w:pPr>
              <w:pStyle w:val="Default"/>
              <w:numPr>
                <w:ilvl w:val="0"/>
                <w:numId w:val="28"/>
              </w:numPr>
              <w:rPr>
                <w:rFonts w:asciiTheme="minorHAnsi" w:hAnsiTheme="minorHAnsi"/>
                <w:sz w:val="22"/>
                <w:szCs w:val="22"/>
              </w:rPr>
            </w:pPr>
            <w:r w:rsidRPr="00C0597D">
              <w:rPr>
                <w:rFonts w:asciiTheme="minorHAnsi" w:hAnsiTheme="minorHAnsi"/>
                <w:sz w:val="22"/>
                <w:szCs w:val="22"/>
              </w:rPr>
              <w:t xml:space="preserve">the process is completed and results in a decision supporting the registered provider (ie. the student’s appeal was unsuccessful) the </w:t>
            </w:r>
            <w:r w:rsidR="00D07B64" w:rsidRPr="00C0597D">
              <w:rPr>
                <w:rFonts w:asciiTheme="minorHAnsi" w:hAnsiTheme="minorHAnsi"/>
                <w:sz w:val="22"/>
                <w:szCs w:val="22"/>
              </w:rPr>
              <w:t>Imagine Education Australia will</w:t>
            </w:r>
            <w:r w:rsidRPr="00C0597D">
              <w:rPr>
                <w:rFonts w:asciiTheme="minorHAnsi" w:hAnsiTheme="minorHAnsi"/>
                <w:sz w:val="22"/>
                <w:szCs w:val="22"/>
              </w:rPr>
              <w:t xml:space="preserve"> notify the Secretary of </w:t>
            </w:r>
            <w:r w:rsidR="00D07B64" w:rsidRPr="00C0597D">
              <w:rPr>
                <w:rFonts w:asciiTheme="minorHAnsi" w:hAnsiTheme="minorHAnsi"/>
                <w:sz w:val="22"/>
                <w:szCs w:val="22"/>
              </w:rPr>
              <w:t>DIBP</w:t>
            </w:r>
            <w:r w:rsidRPr="00C0597D">
              <w:rPr>
                <w:rFonts w:asciiTheme="minorHAnsi" w:hAnsiTheme="minorHAnsi"/>
                <w:sz w:val="22"/>
                <w:szCs w:val="22"/>
              </w:rPr>
              <w:t xml:space="preserve"> through PRISMS as soon as practicable of the student not achieving satisfactory course progress. </w:t>
            </w:r>
          </w:p>
          <w:p w:rsidR="005464A5" w:rsidRPr="00C0597D" w:rsidRDefault="005464A5" w:rsidP="005464A5">
            <w:pPr>
              <w:pStyle w:val="Default"/>
              <w:rPr>
                <w:rFonts w:asciiTheme="minorHAnsi" w:hAnsiTheme="minorHAnsi"/>
                <w:sz w:val="22"/>
                <w:szCs w:val="22"/>
              </w:rPr>
            </w:pPr>
          </w:p>
          <w:p w:rsidR="00AC0F00" w:rsidRPr="00C0597D" w:rsidRDefault="00AC0F00" w:rsidP="00D07B64">
            <w:pPr>
              <w:rPr>
                <w:b/>
              </w:rPr>
            </w:pPr>
          </w:p>
        </w:tc>
      </w:tr>
      <w:tr w:rsidR="00D07B64" w:rsidTr="009B4EF8">
        <w:tc>
          <w:tcPr>
            <w:tcW w:w="1668" w:type="dxa"/>
          </w:tcPr>
          <w:p w:rsidR="00D07B64" w:rsidRPr="00AC0F00" w:rsidRDefault="00D07B64" w:rsidP="009B4EF8">
            <w:pPr>
              <w:ind w:right="-249"/>
              <w:rPr>
                <w:rFonts w:ascii="Comic Sans MS" w:hAnsi="Comic Sans MS"/>
                <w:b/>
                <w:sz w:val="18"/>
                <w:szCs w:val="18"/>
              </w:rPr>
            </w:pPr>
            <w:r>
              <w:rPr>
                <w:rFonts w:ascii="Comic Sans MS" w:hAnsi="Comic Sans MS"/>
                <w:b/>
                <w:sz w:val="18"/>
                <w:szCs w:val="18"/>
              </w:rPr>
              <w:lastRenderedPageBreak/>
              <w:t>The intervention strategy</w:t>
            </w:r>
          </w:p>
        </w:tc>
        <w:tc>
          <w:tcPr>
            <w:tcW w:w="8448" w:type="dxa"/>
          </w:tcPr>
          <w:p w:rsidR="00D07B64" w:rsidRPr="00C0597D" w:rsidRDefault="00D07B64" w:rsidP="00D07B64">
            <w:pPr>
              <w:pStyle w:val="Default"/>
              <w:rPr>
                <w:rFonts w:asciiTheme="minorHAnsi" w:hAnsiTheme="minorHAnsi"/>
                <w:sz w:val="22"/>
                <w:szCs w:val="22"/>
              </w:rPr>
            </w:pPr>
            <w:r w:rsidRPr="00C0597D">
              <w:rPr>
                <w:rFonts w:asciiTheme="minorHAnsi" w:hAnsiTheme="minorHAnsi"/>
                <w:b/>
                <w:bCs/>
                <w:sz w:val="22"/>
                <w:szCs w:val="22"/>
              </w:rPr>
              <w:t xml:space="preserve">The intervention strategy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910F0E" w:rsidRDefault="00D07B64" w:rsidP="00910F0E">
            <w:pPr>
              <w:pStyle w:val="Default"/>
              <w:rPr>
                <w:rFonts w:asciiTheme="minorHAnsi" w:hAnsiTheme="minorHAnsi"/>
                <w:sz w:val="22"/>
                <w:szCs w:val="22"/>
              </w:rPr>
            </w:pPr>
            <w:r w:rsidRPr="00C0597D">
              <w:rPr>
                <w:rFonts w:asciiTheme="minorHAnsi" w:hAnsiTheme="minorHAnsi"/>
                <w:sz w:val="22"/>
                <w:szCs w:val="22"/>
              </w:rPr>
              <w:t>• Imagine Education Australia will make students aware of opportunities and services to assist them if they are identified as at risk of not making satisfactory course progress by providing in writing by email.</w:t>
            </w:r>
            <w:r w:rsidR="00910F0E">
              <w:rPr>
                <w:rFonts w:asciiTheme="minorHAnsi" w:hAnsiTheme="minorHAnsi"/>
                <w:sz w:val="22"/>
                <w:szCs w:val="22"/>
              </w:rPr>
              <w:t xml:space="preserve"> Imagine Education Australia have available a counsellor available by appointment to discuss welfare relate issues. Students wishing to see the Student Counsellor can make an appointment at the Student Services Desk.</w:t>
            </w:r>
          </w:p>
          <w:p w:rsidR="004C67F0" w:rsidRPr="00C0597D" w:rsidRDefault="004C67F0" w:rsidP="00910F0E">
            <w:pPr>
              <w:pStyle w:val="Default"/>
              <w:rPr>
                <w:rFonts w:asciiTheme="minorHAnsi" w:hAnsiTheme="minorHAnsi"/>
                <w:sz w:val="22"/>
                <w:szCs w:val="22"/>
              </w:rPr>
            </w:pPr>
          </w:p>
          <w:p w:rsidR="009B4EF8" w:rsidRPr="00C0597D" w:rsidRDefault="009B4EF8" w:rsidP="009B4EF8">
            <w:pPr>
              <w:ind w:left="33"/>
              <w:rPr>
                <w:rFonts w:cs="Arial"/>
                <w:b/>
                <w:bCs/>
              </w:rPr>
            </w:pPr>
            <w:r w:rsidRPr="00C0597D">
              <w:rPr>
                <w:rFonts w:cs="Arial"/>
                <w:b/>
                <w:bCs/>
              </w:rPr>
              <w:t>Strategies to assist identified students to achieve satisfactory course progress:</w:t>
            </w:r>
          </w:p>
          <w:p w:rsidR="009B4EF8" w:rsidRPr="00C0597D" w:rsidRDefault="009B4EF8" w:rsidP="009B4EF8">
            <w:pPr>
              <w:rPr>
                <w:rFonts w:cs="Arial"/>
                <w:bCs/>
              </w:rPr>
            </w:pPr>
            <w:r w:rsidRPr="00C0597D">
              <w:rPr>
                <w:rFonts w:cs="Arial"/>
                <w:bCs/>
              </w:rPr>
              <w:t>Possible intervention strategies include:</w:t>
            </w:r>
          </w:p>
          <w:p w:rsidR="009B4EF8" w:rsidRPr="00C0597D" w:rsidRDefault="009B4EF8" w:rsidP="009B4EF8">
            <w:pPr>
              <w:numPr>
                <w:ilvl w:val="0"/>
                <w:numId w:val="25"/>
              </w:numPr>
              <w:rPr>
                <w:rFonts w:cs="Arial"/>
                <w:bCs/>
              </w:rPr>
            </w:pPr>
            <w:r w:rsidRPr="00C0597D">
              <w:rPr>
                <w:rFonts w:cs="Arial"/>
                <w:bCs/>
              </w:rPr>
              <w:t>promoting regular attendance at lectures</w:t>
            </w:r>
          </w:p>
          <w:p w:rsidR="009B4EF8" w:rsidRPr="00C0597D" w:rsidRDefault="00C0597D" w:rsidP="009B4EF8">
            <w:pPr>
              <w:numPr>
                <w:ilvl w:val="0"/>
                <w:numId w:val="25"/>
              </w:numPr>
              <w:rPr>
                <w:rFonts w:cs="Arial"/>
                <w:bCs/>
              </w:rPr>
            </w:pPr>
            <w:r w:rsidRPr="00C0597D">
              <w:rPr>
                <w:rFonts w:cs="Arial"/>
                <w:bCs/>
              </w:rPr>
              <w:t>Additional</w:t>
            </w:r>
            <w:r w:rsidR="009B4EF8" w:rsidRPr="00C0597D">
              <w:rPr>
                <w:rFonts w:cs="Arial"/>
                <w:bCs/>
              </w:rPr>
              <w:t xml:space="preserve"> access to library resources and lecturer</w:t>
            </w:r>
            <w:r w:rsidRPr="00C0597D">
              <w:rPr>
                <w:rFonts w:cs="Arial"/>
                <w:bCs/>
              </w:rPr>
              <w:t xml:space="preserve"> through review weeks</w:t>
            </w:r>
          </w:p>
          <w:p w:rsidR="009B4EF8" w:rsidRPr="00C0597D" w:rsidRDefault="009B4EF8" w:rsidP="009B4EF8">
            <w:pPr>
              <w:numPr>
                <w:ilvl w:val="0"/>
                <w:numId w:val="25"/>
              </w:numPr>
              <w:rPr>
                <w:rFonts w:cs="Arial"/>
                <w:bCs/>
              </w:rPr>
            </w:pPr>
            <w:r w:rsidRPr="00C0597D">
              <w:rPr>
                <w:rFonts w:cs="Arial"/>
                <w:bCs/>
              </w:rPr>
              <w:t xml:space="preserve">the submission of assessment  </w:t>
            </w:r>
          </w:p>
          <w:p w:rsidR="009B4EF8" w:rsidRPr="00C0597D" w:rsidRDefault="009B4EF8" w:rsidP="009B4EF8">
            <w:pPr>
              <w:numPr>
                <w:ilvl w:val="0"/>
                <w:numId w:val="25"/>
              </w:numPr>
              <w:rPr>
                <w:rFonts w:cs="Arial"/>
                <w:bCs/>
              </w:rPr>
            </w:pPr>
            <w:r w:rsidRPr="00C0597D">
              <w:rPr>
                <w:rFonts w:cs="Arial"/>
                <w:bCs/>
              </w:rPr>
              <w:t xml:space="preserve">Where appropriate, students will be advised on the suitability of the course in which they enrolled. </w:t>
            </w:r>
          </w:p>
          <w:p w:rsidR="009B4EF8" w:rsidRPr="00C0597D" w:rsidRDefault="009B4EF8" w:rsidP="009B4EF8">
            <w:pPr>
              <w:numPr>
                <w:ilvl w:val="0"/>
                <w:numId w:val="25"/>
              </w:numPr>
              <w:rPr>
                <w:rFonts w:cs="Arial"/>
                <w:bCs/>
              </w:rPr>
            </w:pPr>
            <w:r w:rsidRPr="00C0597D">
              <w:rPr>
                <w:rFonts w:cs="Arial"/>
                <w:bCs/>
              </w:rPr>
              <w:t>Staff will assist students by advising them of opportunities for reassessment of the task in units in which they had not been previously able to demonstrate competency.</w:t>
            </w:r>
          </w:p>
          <w:p w:rsidR="00D07B64" w:rsidRDefault="009B4EF8" w:rsidP="00D07B64">
            <w:pPr>
              <w:numPr>
                <w:ilvl w:val="0"/>
                <w:numId w:val="25"/>
              </w:numPr>
              <w:rPr>
                <w:rFonts w:cs="Arial"/>
                <w:bCs/>
              </w:rPr>
            </w:pPr>
            <w:r w:rsidRPr="00C0597D">
              <w:rPr>
                <w:rFonts w:cs="Arial"/>
                <w:bCs/>
              </w:rPr>
              <w:t>Extension of course duration as per Imagine Education</w:t>
            </w:r>
            <w:r w:rsidR="00581FF1">
              <w:rPr>
                <w:rFonts w:cs="Arial"/>
                <w:bCs/>
              </w:rPr>
              <w:t xml:space="preserve"> Australia</w:t>
            </w:r>
            <w:r w:rsidRPr="00C0597D">
              <w:rPr>
                <w:rFonts w:cs="Arial"/>
                <w:bCs/>
              </w:rPr>
              <w:t xml:space="preserve"> Intervention Extension Policy.</w:t>
            </w:r>
          </w:p>
          <w:p w:rsidR="001B44D7" w:rsidRDefault="00910F0E" w:rsidP="001B44D7">
            <w:pPr>
              <w:numPr>
                <w:ilvl w:val="0"/>
                <w:numId w:val="25"/>
              </w:numPr>
              <w:rPr>
                <w:rFonts w:cs="Arial"/>
                <w:bCs/>
              </w:rPr>
            </w:pPr>
            <w:r>
              <w:rPr>
                <w:rFonts w:cs="Arial"/>
                <w:bCs/>
              </w:rPr>
              <w:t>Compassionate or Compelling circumstances.</w:t>
            </w:r>
          </w:p>
          <w:p w:rsidR="001B44D7" w:rsidRPr="001B44D7" w:rsidRDefault="001B44D7" w:rsidP="001B44D7">
            <w:pPr>
              <w:numPr>
                <w:ilvl w:val="0"/>
                <w:numId w:val="25"/>
              </w:numPr>
              <w:rPr>
                <w:rFonts w:cs="Arial"/>
                <w:bCs/>
              </w:rPr>
            </w:pPr>
            <w:r>
              <w:t>T</w:t>
            </w:r>
            <w:r w:rsidRPr="001B44D7">
              <w:t>he General Manager may telephone or email the student advising that their course may be cancelled and asking them to attend an interview with GM to see how Imagine can assist with their studies.</w:t>
            </w:r>
          </w:p>
          <w:p w:rsidR="009C493D" w:rsidRPr="00581FF1" w:rsidRDefault="009C493D" w:rsidP="009C493D">
            <w:pPr>
              <w:ind w:left="397"/>
              <w:rPr>
                <w:rFonts w:cs="Arial"/>
                <w:bCs/>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Imagine Education Australia will save each written notice to students in their academic file.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b/>
                <w:bCs/>
                <w:sz w:val="22"/>
                <w:szCs w:val="22"/>
              </w:rPr>
              <w:t xml:space="preserve">The written notice of intention to report a student for unsatisfactory progress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w:t>
            </w:r>
            <w:r w:rsidR="002D101F" w:rsidRPr="00C0597D">
              <w:rPr>
                <w:rFonts w:asciiTheme="minorHAnsi" w:hAnsiTheme="minorHAnsi"/>
                <w:sz w:val="22"/>
                <w:szCs w:val="22"/>
              </w:rPr>
              <w:t>Imagine E</w:t>
            </w:r>
            <w:r w:rsidR="00910F0E">
              <w:rPr>
                <w:rFonts w:asciiTheme="minorHAnsi" w:hAnsiTheme="minorHAnsi"/>
                <w:sz w:val="22"/>
                <w:szCs w:val="22"/>
              </w:rPr>
              <w:t>ducation Australia will provide</w:t>
            </w:r>
            <w:r w:rsidRPr="00C0597D">
              <w:rPr>
                <w:rFonts w:asciiTheme="minorHAnsi" w:hAnsiTheme="minorHAnsi"/>
                <w:sz w:val="22"/>
                <w:szCs w:val="22"/>
              </w:rPr>
              <w:t xml:space="preserve"> written notice to report a student for unsatisfactory progress. </w:t>
            </w:r>
          </w:p>
          <w:p w:rsidR="00D07B64" w:rsidRPr="00C0597D" w:rsidRDefault="00D07B64" w:rsidP="00D07B64">
            <w:pPr>
              <w:pStyle w:val="Default"/>
              <w:pageBreakBefore/>
              <w:rPr>
                <w:rFonts w:asciiTheme="minorHAnsi" w:hAnsiTheme="minorHAnsi"/>
                <w:sz w:val="22"/>
                <w:szCs w:val="22"/>
              </w:rPr>
            </w:pPr>
            <w:r w:rsidRPr="00C0597D">
              <w:rPr>
                <w:rFonts w:asciiTheme="minorHAnsi" w:hAnsiTheme="minorHAnsi"/>
                <w:b/>
                <w:bCs/>
                <w:sz w:val="22"/>
                <w:szCs w:val="22"/>
              </w:rPr>
              <w:t xml:space="preserve">Reporting students for unsatisfactory progress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Reporting a student for unsatisfactory course progress occurs only when the student has been identified as not making satisfactory course progress in two consecutive compulsory study periods, and the student has not made a successful appeal against this assessment.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Course progress in a non-compulsory study period is to be disregarded when considering whether there has been unsatisfactory progress in two consecutive compulsory study periods.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If a student is identified for a second, but not consecutive, study period as not making satisfactory course progress, the provider </w:t>
            </w:r>
            <w:r w:rsidRPr="00C0597D">
              <w:rPr>
                <w:rFonts w:asciiTheme="minorHAnsi" w:hAnsiTheme="minorHAnsi"/>
                <w:b/>
                <w:bCs/>
                <w:sz w:val="22"/>
                <w:szCs w:val="22"/>
              </w:rPr>
              <w:t xml:space="preserve">does not </w:t>
            </w:r>
            <w:r w:rsidRPr="00C0597D">
              <w:rPr>
                <w:rFonts w:asciiTheme="minorHAnsi" w:hAnsiTheme="minorHAnsi"/>
                <w:sz w:val="22"/>
                <w:szCs w:val="22"/>
              </w:rPr>
              <w:t xml:space="preserve">report the student for unsatisfactory course progress.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When a student is reported for unsatisfactory course progress </w:t>
            </w:r>
            <w:r w:rsidR="002D101F" w:rsidRPr="00C0597D">
              <w:rPr>
                <w:rFonts w:asciiTheme="minorHAnsi" w:hAnsiTheme="minorHAnsi"/>
                <w:sz w:val="22"/>
                <w:szCs w:val="22"/>
              </w:rPr>
              <w:t>DIBP</w:t>
            </w:r>
            <w:r w:rsidRPr="00C0597D">
              <w:rPr>
                <w:rFonts w:asciiTheme="minorHAnsi" w:hAnsiTheme="minorHAnsi"/>
                <w:sz w:val="22"/>
                <w:szCs w:val="22"/>
              </w:rPr>
              <w:t xml:space="preserve"> will consider all the information available and if they decide to consider cancellation, </w:t>
            </w:r>
            <w:r w:rsidR="002D101F" w:rsidRPr="00C0597D">
              <w:rPr>
                <w:rFonts w:asciiTheme="minorHAnsi" w:hAnsiTheme="minorHAnsi"/>
                <w:sz w:val="22"/>
                <w:szCs w:val="22"/>
              </w:rPr>
              <w:t>DIBP</w:t>
            </w:r>
            <w:r w:rsidRPr="00C0597D">
              <w:rPr>
                <w:rFonts w:asciiTheme="minorHAnsi" w:hAnsiTheme="minorHAnsi"/>
                <w:sz w:val="22"/>
                <w:szCs w:val="22"/>
              </w:rPr>
              <w:t xml:space="preserve"> will send a Notice of Intention to Consider Cancellation (NOICC) prior to a decision being made to cancel the students visa.  Students will be given an opportunity to respond to the NOICC and explain their situation.</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bookmarkStart w:id="0" w:name="CursorPositionBM"/>
            <w:bookmarkEnd w:id="0"/>
            <w:r w:rsidRPr="00C0597D">
              <w:rPr>
                <w:rFonts w:asciiTheme="minorHAnsi" w:hAnsiTheme="minorHAnsi"/>
                <w:sz w:val="22"/>
                <w:szCs w:val="22"/>
              </w:rPr>
              <w:t xml:space="preserve">• Section 19(2) of the ESOS Act 2000 requires </w:t>
            </w:r>
            <w:r w:rsidR="002D101F" w:rsidRPr="00C0597D">
              <w:rPr>
                <w:rFonts w:asciiTheme="minorHAnsi" w:hAnsiTheme="minorHAnsi"/>
                <w:sz w:val="22"/>
                <w:szCs w:val="22"/>
              </w:rPr>
              <w:t>Imagine Education Australia</w:t>
            </w:r>
            <w:r w:rsidRPr="00C0597D">
              <w:rPr>
                <w:rFonts w:asciiTheme="minorHAnsi" w:hAnsiTheme="minorHAnsi"/>
                <w:sz w:val="22"/>
                <w:szCs w:val="22"/>
              </w:rPr>
              <w:t xml:space="preserve"> to report the student for unsatisfactory course progress ‘as soon as practicable’ after the breach occurs. Good practice would be to report the student through PRISMS within 5 days of finalising the decision to report (ie. within 5 days of 3.9 i., ii., or iii. occurring). </w:t>
            </w:r>
          </w:p>
          <w:p w:rsidR="00D07B64" w:rsidRPr="00C0597D" w:rsidRDefault="00D07B64" w:rsidP="00D07B64">
            <w:pPr>
              <w:pStyle w:val="Default"/>
              <w:rPr>
                <w:rFonts w:asciiTheme="minorHAnsi" w:hAnsiTheme="minorHAnsi"/>
                <w:b/>
                <w:bCs/>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b/>
                <w:bCs/>
                <w:sz w:val="22"/>
                <w:szCs w:val="22"/>
              </w:rPr>
              <w:t xml:space="preserve">Compassionate or compelling circumstances </w:t>
            </w: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 Compassionate or compelling circumstances are generally those beyond the control of the student and they have an impact on the student’s capacity and/or ability to progress through a course. These could include: </w:t>
            </w:r>
          </w:p>
          <w:p w:rsidR="00D07B64" w:rsidRPr="00C0597D" w:rsidRDefault="00D07B64" w:rsidP="00D07B64">
            <w:pPr>
              <w:pStyle w:val="Default"/>
              <w:rPr>
                <w:rFonts w:asciiTheme="minorHAnsi" w:hAnsiTheme="minorHAnsi"/>
                <w:sz w:val="22"/>
                <w:szCs w:val="22"/>
              </w:rPr>
            </w:pP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t xml:space="preserve">serious illness or injury, where a medical certificate states that the student was unable to attend classes </w:t>
            </w: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t xml:space="preserve">bereavement of close family members such as parents or grandparents (where </w:t>
            </w:r>
            <w:r w:rsidRPr="00C0597D">
              <w:rPr>
                <w:rFonts w:asciiTheme="minorHAnsi" w:hAnsiTheme="minorHAnsi"/>
                <w:sz w:val="22"/>
                <w:szCs w:val="22"/>
              </w:rPr>
              <w:lastRenderedPageBreak/>
              <w:t xml:space="preserve">possible a death certificate should be provided) </w:t>
            </w: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t xml:space="preserve">major political upheaval or natural disaster in the home country requiring their emergency travel and this has impacted on their studies </w:t>
            </w:r>
          </w:p>
          <w:p w:rsidR="00D07B64" w:rsidRPr="00C0597D" w:rsidRDefault="00D07B64" w:rsidP="00D07B64">
            <w:pPr>
              <w:pStyle w:val="Default"/>
              <w:numPr>
                <w:ilvl w:val="0"/>
                <w:numId w:val="31"/>
              </w:numPr>
              <w:rPr>
                <w:rFonts w:asciiTheme="minorHAnsi" w:hAnsiTheme="minorHAnsi"/>
                <w:sz w:val="22"/>
                <w:szCs w:val="22"/>
              </w:rPr>
            </w:pPr>
            <w:r w:rsidRPr="00C0597D">
              <w:rPr>
                <w:rFonts w:asciiTheme="minorHAnsi" w:hAnsiTheme="minorHAnsi"/>
                <w:sz w:val="22"/>
                <w:szCs w:val="22"/>
              </w:rPr>
              <w:t xml:space="preserve">a traumatic experience which could include but is not limited to: </w:t>
            </w:r>
          </w:p>
          <w:p w:rsidR="00D07B64" w:rsidRPr="00C0597D" w:rsidRDefault="00D07B64" w:rsidP="00D07B64">
            <w:pPr>
              <w:pStyle w:val="Default"/>
              <w:ind w:left="720"/>
              <w:rPr>
                <w:rFonts w:asciiTheme="minorHAnsi" w:hAnsiTheme="minorHAnsi"/>
                <w:sz w:val="22"/>
                <w:szCs w:val="22"/>
              </w:rPr>
            </w:pPr>
          </w:p>
          <w:p w:rsidR="00D07B64" w:rsidRPr="00C0597D" w:rsidRDefault="00D07B64" w:rsidP="00D07B64">
            <w:pPr>
              <w:pStyle w:val="Default"/>
              <w:numPr>
                <w:ilvl w:val="2"/>
                <w:numId w:val="32"/>
              </w:numPr>
              <w:spacing w:after="30"/>
              <w:rPr>
                <w:rFonts w:asciiTheme="minorHAnsi" w:hAnsiTheme="minorHAnsi"/>
                <w:sz w:val="22"/>
                <w:szCs w:val="22"/>
              </w:rPr>
            </w:pPr>
            <w:r w:rsidRPr="00C0597D">
              <w:rPr>
                <w:rFonts w:asciiTheme="minorHAnsi" w:hAnsiTheme="minorHAnsi"/>
                <w:sz w:val="22"/>
                <w:szCs w:val="22"/>
              </w:rPr>
              <w:t xml:space="preserve">involvement in or witnessing of an accident or </w:t>
            </w:r>
          </w:p>
          <w:p w:rsidR="00D07B64" w:rsidRPr="00C0597D" w:rsidRDefault="00D07B64" w:rsidP="00D07B64">
            <w:pPr>
              <w:pStyle w:val="Default"/>
              <w:numPr>
                <w:ilvl w:val="2"/>
                <w:numId w:val="32"/>
              </w:numPr>
              <w:spacing w:after="30"/>
              <w:rPr>
                <w:rFonts w:asciiTheme="minorHAnsi" w:hAnsiTheme="minorHAnsi"/>
                <w:sz w:val="22"/>
                <w:szCs w:val="22"/>
              </w:rPr>
            </w:pPr>
            <w:r w:rsidRPr="00C0597D">
              <w:rPr>
                <w:rFonts w:asciiTheme="minorHAnsi" w:hAnsiTheme="minorHAnsi"/>
                <w:sz w:val="22"/>
                <w:szCs w:val="22"/>
              </w:rPr>
              <w:t xml:space="preserve">a crime committed against the student or </w:t>
            </w:r>
          </w:p>
          <w:p w:rsidR="00D07B64" w:rsidRPr="00C0597D" w:rsidRDefault="00D07B64" w:rsidP="00D07B64">
            <w:pPr>
              <w:pStyle w:val="Default"/>
              <w:numPr>
                <w:ilvl w:val="2"/>
                <w:numId w:val="32"/>
              </w:numPr>
              <w:rPr>
                <w:rFonts w:asciiTheme="minorHAnsi" w:hAnsiTheme="minorHAnsi"/>
                <w:sz w:val="22"/>
                <w:szCs w:val="22"/>
              </w:rPr>
            </w:pPr>
            <w:r w:rsidRPr="00C0597D">
              <w:rPr>
                <w:rFonts w:asciiTheme="minorHAnsi" w:hAnsiTheme="minorHAnsi"/>
                <w:sz w:val="22"/>
                <w:szCs w:val="22"/>
              </w:rPr>
              <w:t xml:space="preserve">the student has been a witness to a crime and this has impacted on the student (these cases should be supported by police or psychologists’ reports). </w:t>
            </w:r>
          </w:p>
          <w:p w:rsidR="00D07B64" w:rsidRPr="00C0597D" w:rsidRDefault="00D07B64" w:rsidP="00D07B64">
            <w:pPr>
              <w:pStyle w:val="Default"/>
              <w:ind w:left="2160"/>
              <w:rPr>
                <w:rFonts w:asciiTheme="minorHAnsi" w:hAnsiTheme="minorHAnsi"/>
                <w:sz w:val="22"/>
                <w:szCs w:val="22"/>
              </w:rPr>
            </w:pPr>
          </w:p>
          <w:p w:rsidR="00D07B64" w:rsidRPr="00C0597D" w:rsidRDefault="00D07B64" w:rsidP="00D07B64">
            <w:pPr>
              <w:pStyle w:val="Default"/>
              <w:rPr>
                <w:rFonts w:asciiTheme="minorHAnsi" w:hAnsiTheme="minorHAnsi"/>
                <w:sz w:val="22"/>
                <w:szCs w:val="22"/>
              </w:rPr>
            </w:pPr>
            <w:r w:rsidRPr="00C0597D">
              <w:rPr>
                <w:rFonts w:asciiTheme="minorHAnsi" w:hAnsiTheme="minorHAnsi"/>
                <w:sz w:val="22"/>
                <w:szCs w:val="22"/>
              </w:rPr>
              <w:t xml:space="preserve">Please note that the above are only some of examples of what may be considered compassionate or compelling circumstances. </w:t>
            </w:r>
            <w:r w:rsidR="002D101F" w:rsidRPr="00C0597D">
              <w:rPr>
                <w:rFonts w:asciiTheme="minorHAnsi" w:hAnsiTheme="minorHAnsi"/>
                <w:sz w:val="22"/>
                <w:szCs w:val="22"/>
              </w:rPr>
              <w:t>Imagine Education Australia will</w:t>
            </w:r>
            <w:r w:rsidRPr="00C0597D">
              <w:rPr>
                <w:rFonts w:asciiTheme="minorHAnsi" w:hAnsiTheme="minorHAnsi"/>
                <w:sz w:val="22"/>
                <w:szCs w:val="22"/>
              </w:rPr>
              <w:t xml:space="preserve"> use </w:t>
            </w:r>
            <w:r w:rsidR="002D101F" w:rsidRPr="00C0597D">
              <w:rPr>
                <w:rFonts w:asciiTheme="minorHAnsi" w:hAnsiTheme="minorHAnsi"/>
                <w:sz w:val="22"/>
                <w:szCs w:val="22"/>
              </w:rPr>
              <w:t>our</w:t>
            </w:r>
            <w:r w:rsidRPr="00C0597D">
              <w:rPr>
                <w:rFonts w:asciiTheme="minorHAnsi" w:hAnsiTheme="minorHAnsi"/>
                <w:sz w:val="22"/>
                <w:szCs w:val="22"/>
              </w:rPr>
              <w:t xml:space="preserve"> professional judgment and to assess each case on its individual merits. When determining whether compassionate or compelling circumstances exist, </w:t>
            </w:r>
            <w:r w:rsidR="002D101F" w:rsidRPr="00C0597D">
              <w:rPr>
                <w:rFonts w:asciiTheme="minorHAnsi" w:hAnsiTheme="minorHAnsi"/>
                <w:sz w:val="22"/>
                <w:szCs w:val="22"/>
              </w:rPr>
              <w:t>Imagine Education Australia will</w:t>
            </w:r>
            <w:r w:rsidRPr="00C0597D">
              <w:rPr>
                <w:rFonts w:asciiTheme="minorHAnsi" w:hAnsiTheme="minorHAnsi"/>
                <w:sz w:val="22"/>
                <w:szCs w:val="22"/>
              </w:rPr>
              <w:t xml:space="preserve"> consider documentary evidence provided to support the claim. </w:t>
            </w:r>
            <w:r w:rsidR="002D101F" w:rsidRPr="00C0597D">
              <w:rPr>
                <w:rFonts w:asciiTheme="minorHAnsi" w:hAnsiTheme="minorHAnsi"/>
                <w:sz w:val="22"/>
                <w:szCs w:val="22"/>
              </w:rPr>
              <w:t>Imagine Education Australia will</w:t>
            </w:r>
            <w:r w:rsidRPr="00C0597D">
              <w:rPr>
                <w:rFonts w:asciiTheme="minorHAnsi" w:hAnsiTheme="minorHAnsi"/>
                <w:sz w:val="22"/>
                <w:szCs w:val="22"/>
              </w:rPr>
              <w:t xml:space="preserve"> keep copies of these documents, together with a record of why the decision was made, in the student’s file. </w:t>
            </w:r>
          </w:p>
          <w:p w:rsidR="00D07B64" w:rsidRPr="00C0597D" w:rsidRDefault="00D07B64" w:rsidP="002D101F"/>
        </w:tc>
      </w:tr>
      <w:tr w:rsidR="00AC0F00" w:rsidTr="009B4EF8">
        <w:tc>
          <w:tcPr>
            <w:tcW w:w="1668" w:type="dxa"/>
          </w:tcPr>
          <w:p w:rsidR="00AC0F00" w:rsidRPr="00544EDD" w:rsidRDefault="00AC0F00" w:rsidP="007B4728">
            <w:pPr>
              <w:rPr>
                <w:rFonts w:ascii="Comic Sans MS" w:hAnsi="Comic Sans MS"/>
                <w:b/>
                <w:sz w:val="18"/>
                <w:szCs w:val="18"/>
              </w:rPr>
            </w:pPr>
            <w:r w:rsidRPr="00544EDD">
              <w:rPr>
                <w:rFonts w:ascii="Comic Sans MS" w:hAnsi="Comic Sans MS"/>
                <w:b/>
                <w:sz w:val="18"/>
                <w:szCs w:val="18"/>
              </w:rPr>
              <w:lastRenderedPageBreak/>
              <w:t>Procedure</w:t>
            </w:r>
          </w:p>
        </w:tc>
        <w:tc>
          <w:tcPr>
            <w:tcW w:w="8448" w:type="dxa"/>
          </w:tcPr>
          <w:p w:rsidR="00544EDD" w:rsidRPr="00C0597D" w:rsidRDefault="00544EDD" w:rsidP="00544EDD">
            <w:pPr>
              <w:numPr>
                <w:ilvl w:val="1"/>
                <w:numId w:val="22"/>
              </w:numPr>
              <w:tabs>
                <w:tab w:val="num" w:pos="0"/>
              </w:tabs>
              <w:ind w:left="720" w:hanging="720"/>
              <w:rPr>
                <w:rFonts w:cs="Arial"/>
                <w:bCs/>
                <w:color w:val="000000"/>
              </w:rPr>
            </w:pPr>
            <w:r w:rsidRPr="00C0597D">
              <w:rPr>
                <w:rFonts w:cs="Arial"/>
                <w:bCs/>
              </w:rPr>
              <w:t xml:space="preserve">Course requirements for each compulsory training period (10 weeks) shall be defined and made clear to the student by the </w:t>
            </w:r>
            <w:r w:rsidR="00C0597D">
              <w:rPr>
                <w:rFonts w:cs="Arial"/>
                <w:bCs/>
              </w:rPr>
              <w:t>Trainer</w:t>
            </w:r>
            <w:r w:rsidRPr="00C0597D">
              <w:rPr>
                <w:rFonts w:cs="Arial"/>
                <w:bCs/>
              </w:rPr>
              <w:t xml:space="preserve">/Assessor at the start of each compulsory training period, on the individual student </w:t>
            </w:r>
            <w:r w:rsidRPr="00C0597D">
              <w:rPr>
                <w:rFonts w:cs="Arial"/>
                <w:b/>
                <w:bCs/>
              </w:rPr>
              <w:t xml:space="preserve">Training and Assessment Plan.  </w:t>
            </w:r>
          </w:p>
          <w:p w:rsidR="00544EDD" w:rsidRPr="00C0597D" w:rsidRDefault="00544EDD" w:rsidP="00544EDD">
            <w:pPr>
              <w:tabs>
                <w:tab w:val="num" w:pos="0"/>
              </w:tabs>
              <w:ind w:left="900" w:hanging="900"/>
              <w:rPr>
                <w:rFonts w:cs="Arial"/>
                <w:bCs/>
                <w:color w:val="000000"/>
              </w:rPr>
            </w:pPr>
          </w:p>
          <w:p w:rsidR="00544EDD" w:rsidRPr="00C0597D" w:rsidRDefault="002D101F" w:rsidP="00544EDD">
            <w:pPr>
              <w:numPr>
                <w:ilvl w:val="1"/>
                <w:numId w:val="22"/>
              </w:numPr>
              <w:tabs>
                <w:tab w:val="num" w:pos="0"/>
              </w:tabs>
              <w:ind w:left="720" w:hanging="720"/>
              <w:rPr>
                <w:rFonts w:cs="Arial"/>
                <w:bCs/>
                <w:color w:val="000000"/>
              </w:rPr>
            </w:pPr>
            <w:r w:rsidRPr="00C0597D">
              <w:rPr>
                <w:rFonts w:cs="Arial"/>
              </w:rPr>
              <w:t xml:space="preserve">At </w:t>
            </w:r>
            <w:r w:rsidR="00544EDD" w:rsidRPr="00C0597D">
              <w:rPr>
                <w:rFonts w:cs="Arial"/>
              </w:rPr>
              <w:t xml:space="preserve">the </w:t>
            </w:r>
            <w:r w:rsidR="009C493D">
              <w:rPr>
                <w:rFonts w:cs="Arial"/>
              </w:rPr>
              <w:t xml:space="preserve">end of the </w:t>
            </w:r>
            <w:r w:rsidR="00544EDD" w:rsidRPr="00C0597D">
              <w:rPr>
                <w:rFonts w:cs="Arial"/>
              </w:rPr>
              <w:t>first compulsory study period</w:t>
            </w:r>
            <w:r w:rsidRPr="00C0597D">
              <w:rPr>
                <w:rFonts w:cs="Arial"/>
              </w:rPr>
              <w:t xml:space="preserve"> as outlined on the Training Plan (every 10 weeks)</w:t>
            </w:r>
            <w:r w:rsidR="00544EDD" w:rsidRPr="00C0597D">
              <w:rPr>
                <w:rFonts w:cs="Arial"/>
              </w:rPr>
              <w:t xml:space="preserve"> the </w:t>
            </w:r>
            <w:r w:rsidR="00C0597D">
              <w:rPr>
                <w:rFonts w:cs="Arial"/>
              </w:rPr>
              <w:t>Trainer</w:t>
            </w:r>
            <w:r w:rsidR="00544EDD" w:rsidRPr="00C0597D">
              <w:rPr>
                <w:rFonts w:cs="Arial"/>
              </w:rPr>
              <w:t>/ Assessor will gather data on</w:t>
            </w:r>
            <w:r w:rsidR="00544EDD" w:rsidRPr="00C0597D">
              <w:rPr>
                <w:rFonts w:cs="Arial"/>
                <w:bCs/>
                <w:color w:val="000000"/>
              </w:rPr>
              <w:t xml:space="preserve"> student’s progress </w:t>
            </w:r>
            <w:r w:rsidRPr="00C0597D">
              <w:rPr>
                <w:rFonts w:cs="Arial"/>
                <w:bCs/>
                <w:color w:val="000000"/>
              </w:rPr>
              <w:t xml:space="preserve">for each unit against the expected timetable for the student as outlined on the training plan </w:t>
            </w:r>
            <w:r w:rsidR="009B4EF8" w:rsidRPr="00C0597D">
              <w:rPr>
                <w:rFonts w:cs="Arial"/>
                <w:bCs/>
                <w:color w:val="000000"/>
              </w:rPr>
              <w:t>requirements.</w:t>
            </w:r>
          </w:p>
          <w:p w:rsidR="00544EDD" w:rsidRPr="00C0597D" w:rsidRDefault="00544EDD" w:rsidP="00544EDD">
            <w:pPr>
              <w:numPr>
                <w:ilvl w:val="1"/>
                <w:numId w:val="22"/>
              </w:numPr>
              <w:tabs>
                <w:tab w:val="num" w:pos="0"/>
              </w:tabs>
              <w:ind w:left="720" w:hanging="720"/>
              <w:rPr>
                <w:rFonts w:cs="Arial"/>
                <w:bCs/>
                <w:color w:val="000000"/>
              </w:rPr>
            </w:pPr>
            <w:r w:rsidRPr="00C0597D">
              <w:rPr>
                <w:rFonts w:cs="Arial"/>
                <w:bCs/>
                <w:color w:val="000000"/>
              </w:rPr>
              <w:t>If the student is successfully progressing or demonstrating competency in at least 50% of the course, this will be d</w:t>
            </w:r>
            <w:r w:rsidR="002D101F" w:rsidRPr="00C0597D">
              <w:rPr>
                <w:rFonts w:cs="Arial"/>
                <w:bCs/>
                <w:color w:val="000000"/>
              </w:rPr>
              <w:t xml:space="preserve">ocumented for review at the end of the next study period. </w:t>
            </w:r>
          </w:p>
          <w:p w:rsidR="00544EDD" w:rsidRPr="00C0597D" w:rsidRDefault="00544EDD" w:rsidP="00544EDD">
            <w:pPr>
              <w:tabs>
                <w:tab w:val="num" w:pos="0"/>
              </w:tabs>
              <w:ind w:left="720" w:hanging="720"/>
              <w:rPr>
                <w:rFonts w:cs="Arial"/>
                <w:bCs/>
                <w:color w:val="000000"/>
              </w:rPr>
            </w:pPr>
            <w:r w:rsidRPr="00C0597D">
              <w:rPr>
                <w:rFonts w:cs="Arial"/>
                <w:bCs/>
                <w:color w:val="000000"/>
              </w:rPr>
              <w:t xml:space="preserve">           If the student is not successfully progressing or demonstrating competency in at least 50% of the course, the </w:t>
            </w:r>
            <w:r w:rsidR="00C0597D">
              <w:rPr>
                <w:rFonts w:cs="Arial"/>
                <w:bCs/>
                <w:color w:val="000000"/>
              </w:rPr>
              <w:t>Trainer</w:t>
            </w:r>
            <w:r w:rsidRPr="00C0597D">
              <w:rPr>
                <w:rFonts w:cs="Arial"/>
                <w:bCs/>
                <w:color w:val="000000"/>
              </w:rPr>
              <w:t>/Assessor will issue a</w:t>
            </w:r>
            <w:r w:rsidR="00C4524A" w:rsidRPr="00C0597D">
              <w:rPr>
                <w:rFonts w:cs="Arial"/>
                <w:bCs/>
                <w:color w:val="000000"/>
              </w:rPr>
              <w:t xml:space="preserve"> </w:t>
            </w:r>
            <w:r w:rsidRPr="00C0597D">
              <w:rPr>
                <w:rFonts w:cs="Arial"/>
                <w:b/>
                <w:bCs/>
                <w:color w:val="000000"/>
              </w:rPr>
              <w:t>Progress Warning Letter</w:t>
            </w:r>
            <w:r w:rsidRPr="00C0597D">
              <w:rPr>
                <w:rFonts w:cs="Arial"/>
                <w:bCs/>
                <w:color w:val="000000"/>
              </w:rPr>
              <w:t>. This is the first stage of the intervention strategy.</w:t>
            </w:r>
          </w:p>
          <w:p w:rsidR="00544EDD" w:rsidRPr="00C0597D" w:rsidRDefault="00544EDD" w:rsidP="00544EDD">
            <w:pPr>
              <w:tabs>
                <w:tab w:val="num" w:pos="0"/>
              </w:tabs>
              <w:ind w:left="720" w:hanging="720"/>
              <w:rPr>
                <w:rFonts w:cs="Arial"/>
                <w:bCs/>
                <w:color w:val="000000"/>
              </w:rPr>
            </w:pPr>
          </w:p>
          <w:p w:rsidR="00544EDD" w:rsidRPr="00C0597D" w:rsidRDefault="00544EDD" w:rsidP="00544EDD">
            <w:pPr>
              <w:numPr>
                <w:ilvl w:val="1"/>
                <w:numId w:val="22"/>
              </w:numPr>
              <w:tabs>
                <w:tab w:val="num" w:pos="0"/>
              </w:tabs>
              <w:ind w:left="900" w:right="-693" w:hanging="900"/>
              <w:rPr>
                <w:rFonts w:cs="Arial"/>
              </w:rPr>
            </w:pPr>
            <w:r w:rsidRPr="00C0597D">
              <w:rPr>
                <w:rFonts w:cs="Arial"/>
                <w:bCs/>
                <w:color w:val="000000"/>
              </w:rPr>
              <w:t xml:space="preserve">At the end of the second compulsory period </w:t>
            </w:r>
            <w:r w:rsidR="009B4EF8" w:rsidRPr="00C0597D">
              <w:rPr>
                <w:rFonts w:cs="Arial"/>
                <w:bCs/>
                <w:color w:val="000000"/>
              </w:rPr>
              <w:t>(end of 2</w:t>
            </w:r>
            <w:r w:rsidR="009B4EF8" w:rsidRPr="00C0597D">
              <w:rPr>
                <w:rFonts w:cs="Arial"/>
                <w:bCs/>
                <w:color w:val="000000"/>
                <w:vertAlign w:val="superscript"/>
              </w:rPr>
              <w:t>nd</w:t>
            </w:r>
            <w:r w:rsidR="009B4EF8" w:rsidRPr="00C0597D">
              <w:rPr>
                <w:rFonts w:cs="Arial"/>
                <w:bCs/>
                <w:color w:val="000000"/>
              </w:rPr>
              <w:t xml:space="preserve"> study period)</w:t>
            </w:r>
            <w:r w:rsidRPr="00C0597D">
              <w:rPr>
                <w:rFonts w:cs="Arial"/>
              </w:rPr>
              <w:t xml:space="preserve"> the </w:t>
            </w:r>
            <w:r w:rsidR="00C0597D">
              <w:rPr>
                <w:rFonts w:cs="Arial"/>
              </w:rPr>
              <w:t>Trainer</w:t>
            </w:r>
            <w:r w:rsidRPr="00C0597D">
              <w:rPr>
                <w:rFonts w:cs="Arial"/>
              </w:rPr>
              <w:t>/ Assessor will</w:t>
            </w:r>
          </w:p>
          <w:p w:rsidR="009B4EF8" w:rsidRPr="00C0597D" w:rsidRDefault="00544EDD" w:rsidP="009B4EF8">
            <w:pPr>
              <w:tabs>
                <w:tab w:val="num" w:pos="900"/>
              </w:tabs>
              <w:rPr>
                <w:rFonts w:cs="Arial"/>
                <w:bCs/>
                <w:color w:val="000000"/>
              </w:rPr>
            </w:pPr>
            <w:r w:rsidRPr="00C0597D">
              <w:rPr>
                <w:rFonts w:cs="Arial"/>
              </w:rPr>
              <w:t xml:space="preserve"> </w:t>
            </w:r>
            <w:r w:rsidR="009B4EF8" w:rsidRPr="00C0597D">
              <w:rPr>
                <w:rFonts w:cs="Arial"/>
              </w:rPr>
              <w:t>will gather data on</w:t>
            </w:r>
            <w:r w:rsidR="009B4EF8" w:rsidRPr="00C0597D">
              <w:rPr>
                <w:rFonts w:cs="Arial"/>
                <w:bCs/>
                <w:color w:val="000000"/>
              </w:rPr>
              <w:t xml:space="preserve"> student’s progress for each unit against the expected timetable for the student as outlined on the training plan requirements.</w:t>
            </w:r>
          </w:p>
          <w:p w:rsidR="00544EDD" w:rsidRPr="00C0597D" w:rsidRDefault="00544EDD" w:rsidP="00544EDD">
            <w:pPr>
              <w:ind w:left="900"/>
              <w:rPr>
                <w:rFonts w:cs="Arial"/>
                <w:bCs/>
                <w:color w:val="000000"/>
              </w:rPr>
            </w:pPr>
          </w:p>
          <w:p w:rsidR="00544EDD" w:rsidRPr="00C0597D" w:rsidRDefault="00544EDD" w:rsidP="00C0597D">
            <w:pPr>
              <w:pStyle w:val="ListParagraph"/>
              <w:numPr>
                <w:ilvl w:val="1"/>
                <w:numId w:val="22"/>
              </w:numPr>
              <w:rPr>
                <w:rFonts w:cs="Arial"/>
                <w:bCs/>
                <w:color w:val="000000"/>
              </w:rPr>
            </w:pPr>
            <w:r w:rsidRPr="00C0597D">
              <w:rPr>
                <w:rFonts w:cs="Arial"/>
                <w:bCs/>
                <w:color w:val="000000"/>
              </w:rPr>
              <w:t xml:space="preserve">If the student is not successfully progressing or demonstrating competency in at  </w:t>
            </w:r>
          </w:p>
          <w:p w:rsidR="00544EDD" w:rsidRPr="00C0597D" w:rsidRDefault="00C4524A" w:rsidP="00C4524A">
            <w:pPr>
              <w:ind w:left="34"/>
              <w:rPr>
                <w:rFonts w:cs="Arial"/>
                <w:bCs/>
                <w:color w:val="000000"/>
              </w:rPr>
            </w:pPr>
            <w:r w:rsidRPr="00C0597D">
              <w:rPr>
                <w:rFonts w:cs="Arial"/>
                <w:bCs/>
                <w:color w:val="000000"/>
              </w:rPr>
              <w:t xml:space="preserve">  </w:t>
            </w:r>
            <w:r w:rsidR="00544EDD" w:rsidRPr="00C0597D">
              <w:rPr>
                <w:rFonts w:cs="Arial"/>
                <w:bCs/>
                <w:color w:val="000000"/>
              </w:rPr>
              <w:t xml:space="preserve"> least 50% of the course at the end of the </w:t>
            </w:r>
            <w:r w:rsidR="009B4EF8" w:rsidRPr="00C0597D">
              <w:rPr>
                <w:rFonts w:cs="Arial"/>
                <w:b/>
                <w:bCs/>
                <w:color w:val="000000"/>
              </w:rPr>
              <w:t>second</w:t>
            </w:r>
            <w:r w:rsidR="00544EDD" w:rsidRPr="00C0597D">
              <w:rPr>
                <w:rFonts w:cs="Arial"/>
                <w:b/>
                <w:bCs/>
                <w:color w:val="000000"/>
              </w:rPr>
              <w:t xml:space="preserve"> compulsory study period, </w:t>
            </w:r>
            <w:r w:rsidR="00544EDD" w:rsidRPr="00C0597D">
              <w:rPr>
                <w:rFonts w:cs="Arial"/>
                <w:bCs/>
                <w:color w:val="000000"/>
              </w:rPr>
              <w:t>the</w:t>
            </w:r>
          </w:p>
          <w:p w:rsidR="00544EDD" w:rsidRDefault="00544EDD" w:rsidP="00C4524A">
            <w:pPr>
              <w:ind w:left="34"/>
              <w:rPr>
                <w:rFonts w:cs="Arial"/>
                <w:bCs/>
                <w:color w:val="000000"/>
              </w:rPr>
            </w:pPr>
            <w:r w:rsidRPr="00C0597D">
              <w:rPr>
                <w:rFonts w:cs="Arial"/>
                <w:b/>
                <w:bCs/>
                <w:color w:val="000000"/>
              </w:rPr>
              <w:t xml:space="preserve"> </w:t>
            </w:r>
            <w:r w:rsidR="009B4EF8" w:rsidRPr="00C0597D">
              <w:rPr>
                <w:rFonts w:cs="Arial"/>
                <w:bCs/>
                <w:color w:val="000000"/>
              </w:rPr>
              <w:t>Trainer</w:t>
            </w:r>
            <w:r w:rsidRPr="00C0597D">
              <w:rPr>
                <w:rFonts w:cs="Arial"/>
                <w:bCs/>
                <w:color w:val="000000"/>
              </w:rPr>
              <w:t xml:space="preserve">/Assessor will </w:t>
            </w:r>
            <w:r w:rsidR="009B4EF8" w:rsidRPr="00C0597D">
              <w:rPr>
                <w:rFonts w:cs="Arial"/>
                <w:bCs/>
                <w:color w:val="000000"/>
              </w:rPr>
              <w:t xml:space="preserve">advise the </w:t>
            </w:r>
            <w:r w:rsidR="001B44D7">
              <w:rPr>
                <w:rFonts w:cs="Arial"/>
                <w:bCs/>
                <w:color w:val="000000"/>
              </w:rPr>
              <w:t>General Manager</w:t>
            </w:r>
            <w:r w:rsidR="009B4EF8" w:rsidRPr="00C0597D">
              <w:rPr>
                <w:rFonts w:cs="Arial"/>
                <w:bCs/>
                <w:color w:val="000000"/>
              </w:rPr>
              <w:t>.</w:t>
            </w:r>
            <w:r w:rsidRPr="00C0597D">
              <w:rPr>
                <w:rFonts w:cs="Arial"/>
                <w:bCs/>
                <w:color w:val="000000"/>
              </w:rPr>
              <w:t xml:space="preserve">  </w:t>
            </w:r>
          </w:p>
          <w:p w:rsidR="001B44D7" w:rsidRPr="00C0597D" w:rsidRDefault="001B44D7" w:rsidP="00C4524A">
            <w:pPr>
              <w:ind w:left="34"/>
              <w:rPr>
                <w:rFonts w:cs="Arial"/>
                <w:bCs/>
                <w:color w:val="000000"/>
              </w:rPr>
            </w:pPr>
          </w:p>
          <w:p w:rsidR="00544EDD" w:rsidRPr="00C0597D" w:rsidRDefault="00C4524A" w:rsidP="00C4524A">
            <w:pPr>
              <w:ind w:left="34"/>
              <w:rPr>
                <w:rFonts w:cs="Arial"/>
                <w:b/>
                <w:bCs/>
                <w:color w:val="000000"/>
              </w:rPr>
            </w:pPr>
            <w:r w:rsidRPr="00C0597D">
              <w:rPr>
                <w:rFonts w:cs="Arial"/>
                <w:bCs/>
                <w:color w:val="000000"/>
              </w:rPr>
              <w:t xml:space="preserve"> </w:t>
            </w:r>
            <w:r w:rsidR="00544EDD" w:rsidRPr="00C0597D">
              <w:rPr>
                <w:rFonts w:cs="Arial"/>
                <w:bCs/>
                <w:color w:val="000000"/>
              </w:rPr>
              <w:t xml:space="preserve">The </w:t>
            </w:r>
            <w:r w:rsidR="004C67F0">
              <w:rPr>
                <w:rFonts w:cs="Arial"/>
                <w:bCs/>
                <w:color w:val="000000"/>
              </w:rPr>
              <w:t>General Manager</w:t>
            </w:r>
            <w:r w:rsidR="001B44D7">
              <w:rPr>
                <w:rFonts w:cs="Arial"/>
                <w:bCs/>
                <w:color w:val="000000"/>
              </w:rPr>
              <w:t xml:space="preserve"> </w:t>
            </w:r>
            <w:r w:rsidR="00544EDD" w:rsidRPr="00C0597D">
              <w:rPr>
                <w:rFonts w:cs="Arial"/>
                <w:bCs/>
                <w:color w:val="000000"/>
              </w:rPr>
              <w:t xml:space="preserve">will issue the </w:t>
            </w:r>
            <w:r w:rsidR="00544EDD" w:rsidRPr="00C0597D">
              <w:rPr>
                <w:rFonts w:cs="Arial"/>
                <w:b/>
                <w:bCs/>
                <w:color w:val="000000"/>
              </w:rPr>
              <w:t xml:space="preserve">Notice of Intention to Report for Unsatisfactory Progress Letter  </w:t>
            </w:r>
            <w:r w:rsidR="00544EDD" w:rsidRPr="00C0597D">
              <w:rPr>
                <w:rFonts w:cs="Arial"/>
                <w:bCs/>
                <w:color w:val="000000"/>
              </w:rPr>
              <w:t xml:space="preserve">on behalf of the </w:t>
            </w:r>
            <w:r w:rsidR="00544EDD" w:rsidRPr="00C0597D">
              <w:rPr>
                <w:rFonts w:cs="Arial"/>
                <w:b/>
                <w:bCs/>
                <w:color w:val="000000"/>
              </w:rPr>
              <w:t xml:space="preserve"> </w:t>
            </w:r>
            <w:r w:rsidR="00544EDD" w:rsidRPr="00C0597D">
              <w:rPr>
                <w:rFonts w:cs="Arial"/>
                <w:bCs/>
                <w:color w:val="000000"/>
              </w:rPr>
              <w:t xml:space="preserve">Chief Executive Officer. </w:t>
            </w:r>
          </w:p>
          <w:p w:rsidR="00544EDD" w:rsidRDefault="00544EDD" w:rsidP="00544EDD">
            <w:pPr>
              <w:rPr>
                <w:rFonts w:cs="Arial"/>
                <w:bCs/>
                <w:color w:val="000000"/>
              </w:rPr>
            </w:pPr>
          </w:p>
          <w:p w:rsidR="001B44D7" w:rsidRDefault="001B44D7" w:rsidP="001B44D7">
            <w:pPr>
              <w:pStyle w:val="Default"/>
              <w:numPr>
                <w:ilvl w:val="0"/>
                <w:numId w:val="36"/>
              </w:numPr>
              <w:rPr>
                <w:rFonts w:asciiTheme="minorHAnsi" w:hAnsiTheme="minorHAnsi"/>
                <w:sz w:val="22"/>
                <w:szCs w:val="22"/>
              </w:rPr>
            </w:pPr>
            <w:r>
              <w:rPr>
                <w:rFonts w:asciiTheme="minorHAnsi" w:hAnsiTheme="minorHAnsi"/>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1B44D7" w:rsidRPr="00C0597D" w:rsidRDefault="001B44D7" w:rsidP="001B44D7">
            <w:pPr>
              <w:pStyle w:val="Default"/>
              <w:numPr>
                <w:ilvl w:val="0"/>
                <w:numId w:val="36"/>
              </w:numPr>
              <w:rPr>
                <w:rFonts w:asciiTheme="minorHAnsi" w:hAnsiTheme="minorHAnsi"/>
                <w:sz w:val="22"/>
                <w:szCs w:val="22"/>
              </w:rPr>
            </w:pPr>
            <w:r>
              <w:rPr>
                <w:rFonts w:asciiTheme="minorHAnsi" w:hAnsiTheme="minorHAnsi"/>
                <w:sz w:val="22"/>
                <w:szCs w:val="22"/>
              </w:rPr>
              <w:t>The General Manager may also telephone or email the students’ educational agent seeking assistance to obtain contact with the student.</w:t>
            </w:r>
          </w:p>
          <w:p w:rsidR="001B44D7" w:rsidRPr="00C0597D" w:rsidRDefault="001B44D7" w:rsidP="00544EDD">
            <w:pPr>
              <w:rPr>
                <w:rFonts w:cs="Arial"/>
                <w:bCs/>
                <w:color w:val="000000"/>
              </w:rPr>
            </w:pPr>
          </w:p>
          <w:p w:rsidR="00544EDD" w:rsidRPr="00C0597D" w:rsidRDefault="00544EDD" w:rsidP="00C0597D">
            <w:pPr>
              <w:pStyle w:val="ListParagraph"/>
              <w:numPr>
                <w:ilvl w:val="1"/>
                <w:numId w:val="22"/>
              </w:numPr>
              <w:rPr>
                <w:rFonts w:cs="Arial"/>
              </w:rPr>
            </w:pPr>
            <w:r w:rsidRPr="00C0597D">
              <w:rPr>
                <w:rFonts w:cs="Arial"/>
                <w:bCs/>
                <w:color w:val="000000"/>
              </w:rPr>
              <w:t>The s</w:t>
            </w:r>
            <w:r w:rsidRPr="00C0597D">
              <w:rPr>
                <w:rFonts w:cs="Arial"/>
              </w:rPr>
              <w:t>tudent may accesses the Complaints and Appeals process as detailed in the</w:t>
            </w:r>
          </w:p>
          <w:p w:rsidR="00544EDD" w:rsidRPr="00C0597D" w:rsidRDefault="00544EDD" w:rsidP="00544EDD">
            <w:pPr>
              <w:rPr>
                <w:rFonts w:cs="Arial"/>
              </w:rPr>
            </w:pPr>
            <w:r w:rsidRPr="00C0597D">
              <w:rPr>
                <w:rFonts w:cs="Arial"/>
              </w:rPr>
              <w:t xml:space="preserve"> student handbook within 20 working days.   </w:t>
            </w:r>
          </w:p>
          <w:p w:rsidR="00544EDD" w:rsidRPr="00581FF1" w:rsidRDefault="00544EDD" w:rsidP="00581FF1">
            <w:pPr>
              <w:ind w:left="-360"/>
              <w:rPr>
                <w:rFonts w:cs="Arial"/>
                <w:bCs/>
              </w:rPr>
            </w:pPr>
            <w:r w:rsidRPr="00C0597D">
              <w:rPr>
                <w:rFonts w:cs="Arial"/>
                <w:b/>
                <w:bCs/>
              </w:rPr>
              <w:lastRenderedPageBreak/>
              <w:t xml:space="preserve">   </w:t>
            </w:r>
            <w:bookmarkStart w:id="1" w:name="_Toc265772677"/>
          </w:p>
          <w:p w:rsidR="00544EDD" w:rsidRPr="00C0597D" w:rsidRDefault="00544EDD" w:rsidP="00544EDD">
            <w:pPr>
              <w:pStyle w:val="Heading1"/>
              <w:jc w:val="left"/>
              <w:outlineLvl w:val="0"/>
              <w:rPr>
                <w:rFonts w:asciiTheme="minorHAnsi" w:hAnsiTheme="minorHAnsi"/>
                <w:sz w:val="22"/>
                <w:szCs w:val="22"/>
              </w:rPr>
            </w:pPr>
            <w:r w:rsidRPr="00C0597D">
              <w:rPr>
                <w:rFonts w:asciiTheme="minorHAnsi" w:hAnsiTheme="minorHAnsi"/>
                <w:sz w:val="22"/>
                <w:szCs w:val="22"/>
              </w:rPr>
              <w:t>At Risk of Non-Completion</w:t>
            </w:r>
            <w:bookmarkEnd w:id="1"/>
          </w:p>
          <w:p w:rsidR="00544EDD" w:rsidRPr="00C0597D" w:rsidRDefault="00544EDD" w:rsidP="00544EDD">
            <w:pPr>
              <w:rPr>
                <w:rFonts w:cs="Arial"/>
              </w:rPr>
            </w:pPr>
            <w:r w:rsidRPr="00C0597D">
              <w:rPr>
                <w:rFonts w:cs="Arial"/>
                <w:b/>
              </w:rPr>
              <w:t>Failure to hand in assessment by the due date</w:t>
            </w:r>
            <w:r w:rsidRPr="00C0597D">
              <w:rPr>
                <w:rFonts w:cs="Arial"/>
              </w:rPr>
              <w:t xml:space="preserve"> </w:t>
            </w:r>
            <w:r w:rsidR="00C0597D" w:rsidRPr="00C0597D">
              <w:rPr>
                <w:rFonts w:cs="Arial"/>
              </w:rPr>
              <w:t>may</w:t>
            </w:r>
            <w:r w:rsidRPr="00C0597D">
              <w:rPr>
                <w:rFonts w:cs="Arial"/>
              </w:rPr>
              <w:t xml:space="preserve"> result in the student being unable to complete the full qualification by the course end date.  </w:t>
            </w:r>
          </w:p>
          <w:p w:rsidR="00544EDD" w:rsidRPr="00C0597D" w:rsidRDefault="00544EDD" w:rsidP="00544EDD">
            <w:pPr>
              <w:rPr>
                <w:rFonts w:cs="Arial"/>
              </w:rPr>
            </w:pPr>
          </w:p>
          <w:p w:rsidR="00544EDD" w:rsidRPr="00C0597D" w:rsidRDefault="00544EDD" w:rsidP="00544EDD">
            <w:pPr>
              <w:rPr>
                <w:rFonts w:cs="Arial"/>
              </w:rPr>
            </w:pPr>
            <w:r w:rsidRPr="00C0597D">
              <w:rPr>
                <w:rFonts w:cs="Arial"/>
              </w:rPr>
              <w:t xml:space="preserve">Students who have any outstanding assessments on their course Training Plan at the completion of each study period but are not recognised as failing to progress through the </w:t>
            </w:r>
            <w:r w:rsidR="00C0597D" w:rsidRPr="00C0597D">
              <w:rPr>
                <w:rFonts w:cs="Arial"/>
              </w:rPr>
              <w:t>DIBP</w:t>
            </w:r>
            <w:r w:rsidRPr="00C0597D">
              <w:rPr>
                <w:rFonts w:cs="Arial"/>
              </w:rPr>
              <w:t xml:space="preserve"> Course Progress Policy will be issued with a RISK OF NON COMPLETION letter advising them they are at risk of not completing their enrolled course.</w:t>
            </w:r>
          </w:p>
          <w:p w:rsidR="00544EDD" w:rsidRPr="00C0597D" w:rsidRDefault="00544EDD" w:rsidP="00544EDD">
            <w:pPr>
              <w:pStyle w:val="Default"/>
              <w:jc w:val="both"/>
              <w:rPr>
                <w:rFonts w:asciiTheme="minorHAnsi" w:hAnsiTheme="minorHAnsi"/>
                <w:sz w:val="22"/>
                <w:szCs w:val="22"/>
              </w:rPr>
            </w:pPr>
          </w:p>
          <w:p w:rsidR="009A430C" w:rsidRPr="00581FF1" w:rsidRDefault="00544EDD" w:rsidP="00581FF1">
            <w:pPr>
              <w:pStyle w:val="Default"/>
              <w:jc w:val="both"/>
              <w:rPr>
                <w:rFonts w:asciiTheme="minorHAnsi" w:hAnsiTheme="minorHAnsi"/>
                <w:sz w:val="22"/>
                <w:szCs w:val="22"/>
              </w:rPr>
            </w:pPr>
            <w:r w:rsidRPr="00C0597D">
              <w:rPr>
                <w:rFonts w:asciiTheme="minorHAnsi" w:hAnsiTheme="minorHAnsi"/>
                <w:sz w:val="22"/>
                <w:szCs w:val="22"/>
              </w:rPr>
              <w:t xml:space="preserve">Should a student achieve unsatisfactory course completion, they may be deemed ineligible to progress to the next AQF level, as per the requirements of the Training Package.  </w:t>
            </w:r>
          </w:p>
        </w:tc>
      </w:tr>
    </w:tbl>
    <w:p w:rsidR="00783EA4" w:rsidRDefault="00783EA4"/>
    <w:p w:rsidR="00783EA4" w:rsidRDefault="00783EA4"/>
    <w:p w:rsidR="00783EA4" w:rsidRDefault="00783EA4">
      <w:bookmarkStart w:id="2" w:name="_GoBack"/>
      <w:bookmarkEnd w:id="2"/>
    </w:p>
    <w:tbl>
      <w:tblPr>
        <w:tblStyle w:val="TableGrid"/>
        <w:tblW w:w="0" w:type="auto"/>
        <w:tblLayout w:type="fixed"/>
        <w:tblLook w:val="04A0"/>
      </w:tblPr>
      <w:tblGrid>
        <w:gridCol w:w="1668"/>
        <w:gridCol w:w="8448"/>
      </w:tblGrid>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Supporting Documentation</w:t>
            </w:r>
          </w:p>
        </w:tc>
        <w:tc>
          <w:tcPr>
            <w:tcW w:w="8448" w:type="dxa"/>
          </w:tcPr>
          <w:p w:rsidR="009A430C"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 xml:space="preserve">Warning Letter </w:t>
            </w:r>
          </w:p>
          <w:p w:rsidR="00544EDD"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 xml:space="preserve">Intention to Report Letter </w:t>
            </w:r>
          </w:p>
          <w:p w:rsidR="00544EDD"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 xml:space="preserve">At Risk of non completion letter </w:t>
            </w:r>
          </w:p>
          <w:p w:rsidR="00544EDD" w:rsidRDefault="00544EDD" w:rsidP="001B7896">
            <w:pPr>
              <w:pStyle w:val="ListParagraph"/>
              <w:numPr>
                <w:ilvl w:val="0"/>
                <w:numId w:val="9"/>
              </w:numPr>
              <w:rPr>
                <w:rFonts w:ascii="Comic Sans MS" w:hAnsi="Comic Sans MS"/>
                <w:sz w:val="18"/>
                <w:szCs w:val="18"/>
              </w:rPr>
            </w:pPr>
            <w:r>
              <w:rPr>
                <w:rFonts w:ascii="Comic Sans MS" w:hAnsi="Comic Sans MS"/>
                <w:sz w:val="18"/>
                <w:szCs w:val="18"/>
              </w:rPr>
              <w:t>Intervention Extension Policy – located i.e portal</w:t>
            </w:r>
          </w:p>
          <w:p w:rsidR="007E347F" w:rsidRDefault="007E347F" w:rsidP="001B7896">
            <w:pPr>
              <w:pStyle w:val="ListParagraph"/>
              <w:numPr>
                <w:ilvl w:val="0"/>
                <w:numId w:val="9"/>
              </w:numPr>
              <w:rPr>
                <w:rFonts w:ascii="Comic Sans MS" w:hAnsi="Comic Sans MS"/>
                <w:sz w:val="18"/>
                <w:szCs w:val="18"/>
              </w:rPr>
            </w:pPr>
            <w:r>
              <w:rPr>
                <w:rFonts w:ascii="Comic Sans MS" w:hAnsi="Comic Sans MS"/>
                <w:sz w:val="18"/>
                <w:szCs w:val="18"/>
              </w:rPr>
              <w:t>Complaints and Appeals Policy – located i.e portal</w:t>
            </w:r>
          </w:p>
          <w:p w:rsidR="009A430C" w:rsidRDefault="009A430C" w:rsidP="009A430C">
            <w:pPr>
              <w:pStyle w:val="ListParagraph"/>
              <w:rPr>
                <w:rFonts w:ascii="Comic Sans MS" w:hAnsi="Comic Sans MS"/>
                <w:sz w:val="18"/>
                <w:szCs w:val="18"/>
              </w:rPr>
            </w:pPr>
          </w:p>
          <w:p w:rsidR="009A430C" w:rsidRPr="009A430C" w:rsidRDefault="009A430C" w:rsidP="009A430C">
            <w:pPr>
              <w:rPr>
                <w:rFonts w:ascii="Comic Sans MS" w:hAnsi="Comic Sans MS"/>
                <w:sz w:val="18"/>
                <w:szCs w:val="18"/>
              </w:rPr>
            </w:pPr>
          </w:p>
        </w:tc>
      </w:tr>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Reviewed</w:t>
            </w:r>
          </w:p>
        </w:tc>
        <w:tc>
          <w:tcPr>
            <w:tcW w:w="8448" w:type="dxa"/>
          </w:tcPr>
          <w:p w:rsidR="00AC0F00" w:rsidRPr="00AC0F00" w:rsidRDefault="00AC0F00" w:rsidP="004C67F0">
            <w:pPr>
              <w:rPr>
                <w:rFonts w:ascii="Comic Sans MS" w:hAnsi="Comic Sans MS"/>
                <w:sz w:val="18"/>
                <w:szCs w:val="18"/>
              </w:rPr>
            </w:pPr>
            <w:r w:rsidRPr="00AC0F00">
              <w:rPr>
                <w:rFonts w:ascii="Comic Sans MS" w:hAnsi="Comic Sans MS"/>
                <w:sz w:val="18"/>
                <w:szCs w:val="18"/>
              </w:rPr>
              <w:t>Annually</w:t>
            </w:r>
            <w:r w:rsidR="00152883">
              <w:rPr>
                <w:rFonts w:ascii="Comic Sans MS" w:hAnsi="Comic Sans MS"/>
                <w:sz w:val="18"/>
                <w:szCs w:val="18"/>
              </w:rPr>
              <w:t xml:space="preserve">, </w:t>
            </w:r>
            <w:r w:rsidR="004C67F0">
              <w:rPr>
                <w:rFonts w:ascii="Comic Sans MS" w:hAnsi="Comic Sans MS"/>
                <w:sz w:val="18"/>
                <w:szCs w:val="18"/>
              </w:rPr>
              <w:t>December 2016</w:t>
            </w:r>
          </w:p>
        </w:tc>
      </w:tr>
      <w:tr w:rsidR="00AC0F00" w:rsidTr="009B4EF8">
        <w:tc>
          <w:tcPr>
            <w:tcW w:w="1668" w:type="dxa"/>
          </w:tcPr>
          <w:p w:rsidR="00AC0F00" w:rsidRPr="00AC0F00" w:rsidRDefault="00AC0F00" w:rsidP="007B4728">
            <w:pPr>
              <w:rPr>
                <w:rFonts w:ascii="Comic Sans MS" w:hAnsi="Comic Sans MS"/>
                <w:b/>
                <w:sz w:val="18"/>
                <w:szCs w:val="18"/>
              </w:rPr>
            </w:pPr>
            <w:r w:rsidRPr="00AC0F00">
              <w:rPr>
                <w:rFonts w:ascii="Comic Sans MS" w:hAnsi="Comic Sans MS"/>
                <w:b/>
                <w:sz w:val="18"/>
                <w:szCs w:val="18"/>
              </w:rPr>
              <w:t>Version</w:t>
            </w:r>
          </w:p>
        </w:tc>
        <w:tc>
          <w:tcPr>
            <w:tcW w:w="8448" w:type="dxa"/>
          </w:tcPr>
          <w:p w:rsidR="00AC0F00" w:rsidRPr="00AC0F00" w:rsidRDefault="00EC297A" w:rsidP="004C67F0">
            <w:pPr>
              <w:rPr>
                <w:rFonts w:ascii="Comic Sans MS" w:hAnsi="Comic Sans MS"/>
                <w:sz w:val="18"/>
                <w:szCs w:val="18"/>
              </w:rPr>
            </w:pPr>
            <w:r>
              <w:rPr>
                <w:rFonts w:ascii="Comic Sans MS" w:hAnsi="Comic Sans MS"/>
                <w:sz w:val="18"/>
                <w:szCs w:val="18"/>
              </w:rPr>
              <w:t>3.</w:t>
            </w:r>
            <w:r w:rsidR="004C67F0">
              <w:rPr>
                <w:rFonts w:ascii="Comic Sans MS" w:hAnsi="Comic Sans MS"/>
                <w:sz w:val="18"/>
                <w:szCs w:val="18"/>
              </w:rPr>
              <w:t>2</w:t>
            </w:r>
            <w:r w:rsidR="00152883">
              <w:rPr>
                <w:rFonts w:ascii="Comic Sans MS" w:hAnsi="Comic Sans MS"/>
                <w:sz w:val="18"/>
                <w:szCs w:val="18"/>
              </w:rPr>
              <w:t xml:space="preserve">, </w:t>
            </w:r>
            <w:r w:rsidR="004C67F0">
              <w:rPr>
                <w:rFonts w:ascii="Comic Sans MS" w:hAnsi="Comic Sans MS"/>
                <w:sz w:val="18"/>
                <w:szCs w:val="18"/>
              </w:rPr>
              <w:t>6/11/15</w:t>
            </w:r>
          </w:p>
        </w:tc>
      </w:tr>
    </w:tbl>
    <w:p w:rsidR="004535F2" w:rsidRDefault="004535F2" w:rsidP="00B71FFE">
      <w:pPr>
        <w:ind w:left="-993"/>
        <w:rPr>
          <w:rFonts w:ascii="Comic Sans MS" w:hAnsi="Comic Sans MS"/>
          <w:b/>
          <w:sz w:val="24"/>
          <w:szCs w:val="24"/>
        </w:rPr>
      </w:pPr>
    </w:p>
    <w:sectPr w:rsidR="004535F2" w:rsidSect="00AA6BDC">
      <w:footerReference w:type="default" r:id="rId12"/>
      <w:pgSz w:w="11906" w:h="16838"/>
      <w:pgMar w:top="568" w:right="56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B17" w:rsidRDefault="00DD1B17" w:rsidP="00B71FFE">
      <w:pPr>
        <w:spacing w:after="0" w:line="240" w:lineRule="auto"/>
      </w:pPr>
      <w:r>
        <w:separator/>
      </w:r>
    </w:p>
  </w:endnote>
  <w:endnote w:type="continuationSeparator" w:id="0">
    <w:p w:rsidR="00DD1B17" w:rsidRDefault="00DD1B17" w:rsidP="00B7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F0" w:rsidRPr="00020CA9" w:rsidRDefault="008C2B90" w:rsidP="00020CA9">
    <w:pPr>
      <w:pStyle w:val="Footer"/>
    </w:pPr>
    <w:fldSimple w:instr=" FILENAME  \p  \* MERGEFORMAT ">
      <w:r w:rsidR="004C67F0">
        <w:rPr>
          <w:noProof/>
        </w:rPr>
        <w:t>J:\Documents\Editable Policies and Procedures\VET\DIBP Course Progress Policy and Procedures for CRICOS Providers 3.2.docx</w:t>
      </w:r>
    </w:fldSimple>
    <w:r w:rsidR="004C67F0">
      <w:t xml:space="preserve"> </w:t>
    </w:r>
    <w:fldSimple w:instr=" DATE \@ &quot;d/MM/yyyy&quot; ">
      <w:r w:rsidR="008D7592">
        <w:rPr>
          <w:noProof/>
        </w:rPr>
        <w:t>9/11/2015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B17" w:rsidRDefault="00DD1B17" w:rsidP="00B71FFE">
      <w:pPr>
        <w:spacing w:after="0" w:line="240" w:lineRule="auto"/>
      </w:pPr>
      <w:r>
        <w:separator/>
      </w:r>
    </w:p>
  </w:footnote>
  <w:footnote w:type="continuationSeparator" w:id="0">
    <w:p w:rsidR="00DD1B17" w:rsidRDefault="00DD1B17" w:rsidP="00B71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E47"/>
    <w:multiLevelType w:val="hybridMultilevel"/>
    <w:tmpl w:val="ED6040A6"/>
    <w:lvl w:ilvl="0" w:tplc="DE74A978">
      <w:start w:val="1"/>
      <w:numFmt w:val="lowerRoman"/>
      <w:lvlText w:val="%1."/>
      <w:lvlJc w:val="left"/>
      <w:pPr>
        <w:tabs>
          <w:tab w:val="num" w:pos="1110"/>
        </w:tabs>
        <w:ind w:left="1110" w:hanging="720"/>
      </w:pPr>
    </w:lvl>
    <w:lvl w:ilvl="1" w:tplc="0C090001">
      <w:start w:val="1"/>
      <w:numFmt w:val="bullet"/>
      <w:lvlText w:val=""/>
      <w:lvlJc w:val="left"/>
      <w:pPr>
        <w:tabs>
          <w:tab w:val="num" w:pos="1470"/>
        </w:tabs>
        <w:ind w:left="147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FC073E"/>
    <w:multiLevelType w:val="hybridMultilevel"/>
    <w:tmpl w:val="8A3A6ED0"/>
    <w:lvl w:ilvl="0" w:tplc="90A2219A">
      <w:start w:val="1"/>
      <w:numFmt w:val="lowerRoman"/>
      <w:lvlText w:val="%1."/>
      <w:lvlJc w:val="left"/>
      <w:pPr>
        <w:tabs>
          <w:tab w:val="num" w:pos="1080"/>
        </w:tabs>
        <w:ind w:left="1080" w:hanging="720"/>
      </w:pPr>
    </w:lvl>
    <w:lvl w:ilvl="1" w:tplc="B0123C5E">
      <w:start w:val="9"/>
      <w:numFmt w:val="decimal"/>
      <w:lvlText w:val="%2."/>
      <w:lvlJc w:val="left"/>
      <w:pPr>
        <w:tabs>
          <w:tab w:val="num" w:pos="1440"/>
        </w:tabs>
        <w:ind w:left="144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FC45F5"/>
    <w:multiLevelType w:val="hybridMultilevel"/>
    <w:tmpl w:val="91B8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B3E18"/>
    <w:multiLevelType w:val="hybridMultilevel"/>
    <w:tmpl w:val="AD8AF7AC"/>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5F5471"/>
    <w:multiLevelType w:val="hybridMultilevel"/>
    <w:tmpl w:val="496E86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4C032E8"/>
    <w:multiLevelType w:val="hybridMultilevel"/>
    <w:tmpl w:val="E4C88F2A"/>
    <w:lvl w:ilvl="0" w:tplc="E5405424">
      <w:start w:val="1"/>
      <w:numFmt w:val="lowerRoman"/>
      <w:lvlText w:val="%1."/>
      <w:lvlJc w:val="left"/>
      <w:pPr>
        <w:tabs>
          <w:tab w:val="num" w:pos="900"/>
        </w:tabs>
        <w:ind w:left="900" w:hanging="720"/>
      </w:pPr>
    </w:lvl>
    <w:lvl w:ilvl="1" w:tplc="CEBEF796">
      <w:start w:val="5"/>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2777EA"/>
    <w:multiLevelType w:val="hybridMultilevel"/>
    <w:tmpl w:val="296A338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69E69FC"/>
    <w:multiLevelType w:val="hybridMultilevel"/>
    <w:tmpl w:val="84CC01D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D307666"/>
    <w:multiLevelType w:val="hybridMultilevel"/>
    <w:tmpl w:val="34F2B904"/>
    <w:lvl w:ilvl="0" w:tplc="0409001B">
      <w:start w:val="1"/>
      <w:numFmt w:val="lowerRoman"/>
      <w:lvlText w:val="%1."/>
      <w:lvlJc w:val="righ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4035BA"/>
    <w:multiLevelType w:val="hybridMultilevel"/>
    <w:tmpl w:val="8592C420"/>
    <w:lvl w:ilvl="0" w:tplc="41C21FF0">
      <w:start w:val="1"/>
      <w:numFmt w:val="lowerRoman"/>
      <w:lvlText w:val="%1."/>
      <w:lvlJc w:val="left"/>
      <w:pPr>
        <w:tabs>
          <w:tab w:val="num" w:pos="900"/>
        </w:tabs>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3B1A0817"/>
    <w:multiLevelType w:val="hybridMultilevel"/>
    <w:tmpl w:val="521C6E66"/>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457C32"/>
    <w:multiLevelType w:val="hybridMultilevel"/>
    <w:tmpl w:val="A2D093E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40750D0A"/>
    <w:multiLevelType w:val="hybridMultilevel"/>
    <w:tmpl w:val="4D787BA6"/>
    <w:lvl w:ilvl="0" w:tplc="0409001B">
      <w:start w:val="1"/>
      <w:numFmt w:val="lowerRoman"/>
      <w:lvlText w:val="%1."/>
      <w:lvlJc w:val="righ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9603E"/>
    <w:multiLevelType w:val="hybridMultilevel"/>
    <w:tmpl w:val="E09C7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FE6F95"/>
    <w:multiLevelType w:val="hybridMultilevel"/>
    <w:tmpl w:val="9B4A0F80"/>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8DDEDE6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36314A"/>
    <w:multiLevelType w:val="hybridMultilevel"/>
    <w:tmpl w:val="55E47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AB36B3"/>
    <w:multiLevelType w:val="hybridMultilevel"/>
    <w:tmpl w:val="55ACF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1161B0"/>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D307DE5"/>
    <w:multiLevelType w:val="hybridMultilevel"/>
    <w:tmpl w:val="2B163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9041FF"/>
    <w:multiLevelType w:val="hybridMultilevel"/>
    <w:tmpl w:val="0F326F86"/>
    <w:lvl w:ilvl="0" w:tplc="0C090003">
      <w:start w:val="1"/>
      <w:numFmt w:val="bullet"/>
      <w:lvlText w:val="o"/>
      <w:lvlJc w:val="left"/>
      <w:pPr>
        <w:ind w:left="720" w:hanging="360"/>
      </w:pPr>
      <w:rPr>
        <w:rFonts w:ascii="Courier New" w:hAnsi="Courier New" w:hint="default"/>
      </w:rPr>
    </w:lvl>
    <w:lvl w:ilvl="1" w:tplc="F95A8D3A">
      <w:start w:val="3"/>
      <w:numFmt w:val="bullet"/>
      <w:lvlText w:val=""/>
      <w:lvlJc w:val="left"/>
      <w:pPr>
        <w:ind w:left="1440" w:hanging="360"/>
      </w:pPr>
      <w:rPr>
        <w:rFonts w:ascii="Symbol" w:eastAsia="Times New Roman"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00610D"/>
    <w:multiLevelType w:val="hybridMultilevel"/>
    <w:tmpl w:val="A988531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584664F"/>
    <w:multiLevelType w:val="hybridMultilevel"/>
    <w:tmpl w:val="4F28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0C3F8D"/>
    <w:multiLevelType w:val="hybridMultilevel"/>
    <w:tmpl w:val="B156B5E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5AC20D5D"/>
    <w:multiLevelType w:val="hybridMultilevel"/>
    <w:tmpl w:val="96DE7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CBC57EE"/>
    <w:multiLevelType w:val="hybridMultilevel"/>
    <w:tmpl w:val="DD78D5E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D985965"/>
    <w:multiLevelType w:val="hybridMultilevel"/>
    <w:tmpl w:val="5D4C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AB3CEA"/>
    <w:multiLevelType w:val="hybridMultilevel"/>
    <w:tmpl w:val="3D4C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01E2268"/>
    <w:multiLevelType w:val="hybridMultilevel"/>
    <w:tmpl w:val="3C64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FD10CD"/>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A48606C"/>
    <w:multiLevelType w:val="hybridMultilevel"/>
    <w:tmpl w:val="9522D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5"/>
  </w:num>
  <w:num w:numId="4">
    <w:abstractNumId w:val="4"/>
  </w:num>
  <w:num w:numId="5">
    <w:abstractNumId w:val="19"/>
  </w:num>
  <w:num w:numId="6">
    <w:abstractNumId w:val="16"/>
  </w:num>
  <w:num w:numId="7">
    <w:abstractNumId w:val="10"/>
  </w:num>
  <w:num w:numId="8">
    <w:abstractNumId w:val="21"/>
  </w:num>
  <w:num w:numId="9">
    <w:abstractNumId w:val="23"/>
  </w:num>
  <w:num w:numId="10">
    <w:abstractNumId w:val="32"/>
  </w:num>
  <w:num w:numId="11">
    <w:abstractNumId w:val="28"/>
  </w:num>
  <w:num w:numId="12">
    <w:abstractNumId w:val="26"/>
  </w:num>
  <w:num w:numId="13">
    <w:abstractNumId w:val="34"/>
  </w:num>
  <w:num w:numId="14">
    <w:abstractNumId w:val="2"/>
  </w:num>
  <w:num w:numId="15">
    <w:abstractNumId w:val="29"/>
  </w:num>
  <w:num w:numId="16">
    <w:abstractNumId w:val="20"/>
  </w:num>
  <w:num w:numId="17">
    <w:abstractNumId w:val="7"/>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6"/>
  </w:num>
  <w:num w:numId="28">
    <w:abstractNumId w:val="33"/>
  </w:num>
  <w:num w:numId="29">
    <w:abstractNumId w:val="24"/>
  </w:num>
  <w:num w:numId="30">
    <w:abstractNumId w:val="3"/>
  </w:num>
  <w:num w:numId="31">
    <w:abstractNumId w:val="18"/>
  </w:num>
  <w:num w:numId="32">
    <w:abstractNumId w:val="11"/>
  </w:num>
  <w:num w:numId="33">
    <w:abstractNumId w:val="22"/>
  </w:num>
  <w:num w:numId="34">
    <w:abstractNumId w:val="0"/>
  </w:num>
  <w:num w:numId="35">
    <w:abstractNumId w:val="30"/>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B71FFE"/>
    <w:rsid w:val="00007CBC"/>
    <w:rsid w:val="00020CA9"/>
    <w:rsid w:val="00050B09"/>
    <w:rsid w:val="00070E6D"/>
    <w:rsid w:val="00072A5C"/>
    <w:rsid w:val="000916DE"/>
    <w:rsid w:val="00105349"/>
    <w:rsid w:val="001079A4"/>
    <w:rsid w:val="00131648"/>
    <w:rsid w:val="00131A9D"/>
    <w:rsid w:val="001336CD"/>
    <w:rsid w:val="001401AF"/>
    <w:rsid w:val="001511EE"/>
    <w:rsid w:val="00152883"/>
    <w:rsid w:val="00165B73"/>
    <w:rsid w:val="00170E0E"/>
    <w:rsid w:val="00195501"/>
    <w:rsid w:val="001B44D7"/>
    <w:rsid w:val="001B6C30"/>
    <w:rsid w:val="001B7896"/>
    <w:rsid w:val="001E6BAF"/>
    <w:rsid w:val="00204B35"/>
    <w:rsid w:val="00245F13"/>
    <w:rsid w:val="00292742"/>
    <w:rsid w:val="002959DA"/>
    <w:rsid w:val="002A06F3"/>
    <w:rsid w:val="002C40FC"/>
    <w:rsid w:val="002D0D3F"/>
    <w:rsid w:val="002D101F"/>
    <w:rsid w:val="002E198B"/>
    <w:rsid w:val="0034275D"/>
    <w:rsid w:val="0034610C"/>
    <w:rsid w:val="00385EFF"/>
    <w:rsid w:val="00393596"/>
    <w:rsid w:val="003F551E"/>
    <w:rsid w:val="0041076F"/>
    <w:rsid w:val="00412466"/>
    <w:rsid w:val="00424BBA"/>
    <w:rsid w:val="00437A15"/>
    <w:rsid w:val="004535F2"/>
    <w:rsid w:val="004A406B"/>
    <w:rsid w:val="004C67F0"/>
    <w:rsid w:val="00535713"/>
    <w:rsid w:val="00544D93"/>
    <w:rsid w:val="00544EC5"/>
    <w:rsid w:val="00544EDD"/>
    <w:rsid w:val="005464A5"/>
    <w:rsid w:val="00581FF1"/>
    <w:rsid w:val="005A560F"/>
    <w:rsid w:val="005B71BB"/>
    <w:rsid w:val="005C1E80"/>
    <w:rsid w:val="005D68D9"/>
    <w:rsid w:val="00673ACA"/>
    <w:rsid w:val="00677FB8"/>
    <w:rsid w:val="00683907"/>
    <w:rsid w:val="006E4E1B"/>
    <w:rsid w:val="00710A84"/>
    <w:rsid w:val="007175EC"/>
    <w:rsid w:val="00770D1F"/>
    <w:rsid w:val="00783EA4"/>
    <w:rsid w:val="007936AB"/>
    <w:rsid w:val="007B4728"/>
    <w:rsid w:val="007C4703"/>
    <w:rsid w:val="007D3D8A"/>
    <w:rsid w:val="007E347F"/>
    <w:rsid w:val="00833203"/>
    <w:rsid w:val="00843B7E"/>
    <w:rsid w:val="00850ABA"/>
    <w:rsid w:val="008C2B90"/>
    <w:rsid w:val="008D0E3E"/>
    <w:rsid w:val="008D7592"/>
    <w:rsid w:val="00902D9E"/>
    <w:rsid w:val="00910F0E"/>
    <w:rsid w:val="009307AD"/>
    <w:rsid w:val="00964B54"/>
    <w:rsid w:val="00972547"/>
    <w:rsid w:val="009744CA"/>
    <w:rsid w:val="009A430C"/>
    <w:rsid w:val="009A6851"/>
    <w:rsid w:val="009B4EF8"/>
    <w:rsid w:val="009C493D"/>
    <w:rsid w:val="00A36CE1"/>
    <w:rsid w:val="00AA6BDC"/>
    <w:rsid w:val="00AC0F00"/>
    <w:rsid w:val="00AD0F8B"/>
    <w:rsid w:val="00AE29E5"/>
    <w:rsid w:val="00AE7EDF"/>
    <w:rsid w:val="00B71FFE"/>
    <w:rsid w:val="00B81E19"/>
    <w:rsid w:val="00B90608"/>
    <w:rsid w:val="00BA7431"/>
    <w:rsid w:val="00BC60E7"/>
    <w:rsid w:val="00BE26E9"/>
    <w:rsid w:val="00C0597D"/>
    <w:rsid w:val="00C318EB"/>
    <w:rsid w:val="00C4524A"/>
    <w:rsid w:val="00C770F8"/>
    <w:rsid w:val="00CB2F86"/>
    <w:rsid w:val="00CD5EB7"/>
    <w:rsid w:val="00D03A57"/>
    <w:rsid w:val="00D07B64"/>
    <w:rsid w:val="00D5352A"/>
    <w:rsid w:val="00D5412B"/>
    <w:rsid w:val="00DB02C0"/>
    <w:rsid w:val="00DB611E"/>
    <w:rsid w:val="00DD1B17"/>
    <w:rsid w:val="00DE1D89"/>
    <w:rsid w:val="00E33355"/>
    <w:rsid w:val="00E44022"/>
    <w:rsid w:val="00E60D19"/>
    <w:rsid w:val="00EA4D42"/>
    <w:rsid w:val="00EC297A"/>
    <w:rsid w:val="00EE5F58"/>
    <w:rsid w:val="00F12269"/>
    <w:rsid w:val="00F46B2A"/>
    <w:rsid w:val="00F47E28"/>
    <w:rsid w:val="00F54D69"/>
    <w:rsid w:val="00F73E25"/>
    <w:rsid w:val="00F86682"/>
    <w:rsid w:val="00F87817"/>
    <w:rsid w:val="00FB3BB5"/>
    <w:rsid w:val="00FD00FB"/>
    <w:rsid w:val="00FE29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25"/>
  </w:style>
  <w:style w:type="paragraph" w:styleId="Heading1">
    <w:name w:val="heading 1"/>
    <w:basedOn w:val="Normal"/>
    <w:next w:val="Normal"/>
    <w:link w:val="Heading1Char"/>
    <w:qFormat/>
    <w:rsid w:val="00544EDD"/>
    <w:pPr>
      <w:keepNext/>
      <w:spacing w:after="0" w:line="240" w:lineRule="auto"/>
      <w:jc w:val="center"/>
      <w:outlineLvl w:val="0"/>
    </w:pPr>
    <w:rPr>
      <w:rFonts w:ascii="Arial" w:eastAsia="Times New Roman" w:hAnsi="Arial" w:cs="Times New Roman"/>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FE"/>
  </w:style>
  <w:style w:type="paragraph" w:styleId="Footer">
    <w:name w:val="footer"/>
    <w:basedOn w:val="Normal"/>
    <w:link w:val="FooterChar"/>
    <w:uiPriority w:val="99"/>
    <w:unhideWhenUsed/>
    <w:rsid w:val="00B7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FE"/>
  </w:style>
  <w:style w:type="table" w:styleId="TableGrid">
    <w:name w:val="Table Grid"/>
    <w:basedOn w:val="TableNormal"/>
    <w:uiPriority w:val="59"/>
    <w:rsid w:val="00B71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paragraph" w:customStyle="1" w:styleId="Default">
    <w:name w:val="Default"/>
    <w:rsid w:val="003F551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BA7431"/>
    <w:pPr>
      <w:spacing w:after="0" w:line="240" w:lineRule="auto"/>
      <w:jc w:val="center"/>
    </w:pPr>
    <w:rPr>
      <w:rFonts w:ascii="Garamond" w:eastAsia="Times New Roman" w:hAnsi="Garamond" w:cs="Times New Roman"/>
      <w:b/>
      <w:bCs/>
      <w:sz w:val="36"/>
      <w:szCs w:val="20"/>
    </w:rPr>
  </w:style>
  <w:style w:type="character" w:customStyle="1" w:styleId="BodyTextChar">
    <w:name w:val="Body Text Char"/>
    <w:basedOn w:val="DefaultParagraphFont"/>
    <w:link w:val="BodyText"/>
    <w:rsid w:val="00BA7431"/>
    <w:rPr>
      <w:rFonts w:ascii="Garamond" w:eastAsia="Times New Roman" w:hAnsi="Garamond" w:cs="Times New Roman"/>
      <w:b/>
      <w:bCs/>
      <w:sz w:val="36"/>
      <w:szCs w:val="20"/>
    </w:rPr>
  </w:style>
  <w:style w:type="paragraph" w:styleId="ListParagraph">
    <w:name w:val="List Paragraph"/>
    <w:basedOn w:val="Normal"/>
    <w:uiPriority w:val="34"/>
    <w:qFormat/>
    <w:rsid w:val="00165B73"/>
    <w:pPr>
      <w:ind w:left="720"/>
      <w:contextualSpacing/>
    </w:pPr>
  </w:style>
  <w:style w:type="character" w:styleId="Hyperlink">
    <w:name w:val="Hyperlink"/>
    <w:basedOn w:val="DefaultParagraphFont"/>
    <w:uiPriority w:val="99"/>
    <w:unhideWhenUsed/>
    <w:rsid w:val="009A430C"/>
    <w:rPr>
      <w:color w:val="0000FF" w:themeColor="hyperlink"/>
      <w:u w:val="single"/>
    </w:rPr>
  </w:style>
  <w:style w:type="character" w:customStyle="1" w:styleId="Heading1Char">
    <w:name w:val="Heading 1 Char"/>
    <w:basedOn w:val="DefaultParagraphFont"/>
    <w:link w:val="Heading1"/>
    <w:rsid w:val="00544EDD"/>
    <w:rPr>
      <w:rFonts w:ascii="Arial" w:eastAsia="Times New Roman" w:hAnsi="Arial" w:cs="Times New Roman"/>
      <w:b/>
      <w:sz w:val="4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4EDD"/>
    <w:pPr>
      <w:keepNext/>
      <w:spacing w:after="0" w:line="240" w:lineRule="auto"/>
      <w:jc w:val="center"/>
      <w:outlineLvl w:val="0"/>
    </w:pPr>
    <w:rPr>
      <w:rFonts w:ascii="Arial" w:eastAsia="Times New Roman" w:hAnsi="Arial" w:cs="Times New Roman"/>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FE"/>
  </w:style>
  <w:style w:type="paragraph" w:styleId="Footer">
    <w:name w:val="footer"/>
    <w:basedOn w:val="Normal"/>
    <w:link w:val="FooterChar"/>
    <w:uiPriority w:val="99"/>
    <w:unhideWhenUsed/>
    <w:rsid w:val="00B7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FE"/>
  </w:style>
  <w:style w:type="table" w:styleId="TableGrid">
    <w:name w:val="Table Grid"/>
    <w:basedOn w:val="TableNormal"/>
    <w:uiPriority w:val="59"/>
    <w:rsid w:val="00B71F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paragraph" w:customStyle="1" w:styleId="Default">
    <w:name w:val="Default"/>
    <w:rsid w:val="003F551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BA7431"/>
    <w:pPr>
      <w:spacing w:after="0" w:line="240" w:lineRule="auto"/>
      <w:jc w:val="center"/>
    </w:pPr>
    <w:rPr>
      <w:rFonts w:ascii="Garamond" w:eastAsia="Times New Roman" w:hAnsi="Garamond" w:cs="Times New Roman"/>
      <w:b/>
      <w:bCs/>
      <w:sz w:val="36"/>
      <w:szCs w:val="20"/>
    </w:rPr>
  </w:style>
  <w:style w:type="character" w:customStyle="1" w:styleId="BodyTextChar">
    <w:name w:val="Body Text Char"/>
    <w:basedOn w:val="DefaultParagraphFont"/>
    <w:link w:val="BodyText"/>
    <w:rsid w:val="00BA7431"/>
    <w:rPr>
      <w:rFonts w:ascii="Garamond" w:eastAsia="Times New Roman" w:hAnsi="Garamond" w:cs="Times New Roman"/>
      <w:b/>
      <w:bCs/>
      <w:sz w:val="36"/>
      <w:szCs w:val="20"/>
    </w:rPr>
  </w:style>
  <w:style w:type="paragraph" w:styleId="ListParagraph">
    <w:name w:val="List Paragraph"/>
    <w:basedOn w:val="Normal"/>
    <w:uiPriority w:val="34"/>
    <w:qFormat/>
    <w:rsid w:val="00165B73"/>
    <w:pPr>
      <w:ind w:left="720"/>
      <w:contextualSpacing/>
    </w:pPr>
  </w:style>
  <w:style w:type="character" w:styleId="Hyperlink">
    <w:name w:val="Hyperlink"/>
    <w:basedOn w:val="DefaultParagraphFont"/>
    <w:uiPriority w:val="99"/>
    <w:unhideWhenUsed/>
    <w:rsid w:val="009A430C"/>
    <w:rPr>
      <w:color w:val="0000FF" w:themeColor="hyperlink"/>
      <w:u w:val="single"/>
    </w:rPr>
  </w:style>
  <w:style w:type="character" w:customStyle="1" w:styleId="Heading1Char">
    <w:name w:val="Heading 1 Char"/>
    <w:basedOn w:val="DefaultParagraphFont"/>
    <w:link w:val="Heading1"/>
    <w:rsid w:val="00544EDD"/>
    <w:rPr>
      <w:rFonts w:ascii="Arial" w:eastAsia="Times New Roman" w:hAnsi="Arial" w:cs="Times New Roman"/>
      <w:b/>
      <w:sz w:val="4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6CFFBF08184C4DB03A557C9486D848" ma:contentTypeVersion="0" ma:contentTypeDescription="Create a new document." ma:contentTypeScope="" ma:versionID="fb3c38c791d39457d6b3835678bb7e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C9A6-6879-45C3-9442-5BF3AAA98CF5}">
  <ds:schemaRefs>
    <ds:schemaRef ds:uri="http://schemas.microsoft.com/sharepoint/v3/contenttype/forms"/>
  </ds:schemaRefs>
</ds:datastoreItem>
</file>

<file path=customXml/itemProps2.xml><?xml version="1.0" encoding="utf-8"?>
<ds:datastoreItem xmlns:ds="http://schemas.openxmlformats.org/officeDocument/2006/customXml" ds:itemID="{EDE0FDDB-31C9-4DCF-AB9C-AB8B2396CA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F48E8-E704-4592-A8E9-3B546E801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122FA4-E1E7-483B-A5E7-D2905605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rgunn</dc:creator>
  <cp:lastModifiedBy>ccassidy</cp:lastModifiedBy>
  <cp:revision>2</cp:revision>
  <cp:lastPrinted>2015-03-18T04:53:00Z</cp:lastPrinted>
  <dcterms:created xsi:type="dcterms:W3CDTF">2015-11-09T02:53:00Z</dcterms:created>
  <dcterms:modified xsi:type="dcterms:W3CDTF">2015-11-09T02:53:00Z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0x010100AA6CFFBF08184C4DB03A557C9486D848</vt:lpwstr>
  </property>
</Properties>
</file>